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36AE7" w14:textId="77777777" w:rsidR="006A7BB6" w:rsidRDefault="00EB6CF9" w:rsidP="00441EA0">
      <w:pPr>
        <w:spacing w:after="0" w:line="240" w:lineRule="auto"/>
        <w:rPr>
          <w:rStyle w:val="Bold"/>
        </w:rPr>
      </w:pPr>
      <w:r w:rsidRPr="00D46C5D">
        <w:rPr>
          <w:rStyle w:val="Bold"/>
        </w:rPr>
        <w:fldChar w:fldCharType="begin"/>
      </w:r>
      <w:r w:rsidRPr="00D46C5D">
        <w:rPr>
          <w:rStyle w:val="Bold"/>
        </w:rPr>
        <w:instrText xml:space="preserve"> FILLIN  \d "Type CONFIDENTIAL if required or press Delete key to remove and OK button"  \* MERGEFORMAT </w:instrText>
      </w:r>
      <w:r w:rsidRPr="00D46C5D">
        <w:rPr>
          <w:rStyle w:val="Bold"/>
        </w:rPr>
        <w:fldChar w:fldCharType="end"/>
      </w:r>
    </w:p>
    <w:p w14:paraId="0BC8CF5A" w14:textId="77777777" w:rsidR="00D128BF" w:rsidRPr="00C82648" w:rsidRDefault="00D128BF" w:rsidP="00D128BF">
      <w:pPr>
        <w:pStyle w:val="Heading1"/>
        <w:rPr>
          <w:b w:val="0"/>
        </w:rPr>
      </w:pPr>
      <w:r>
        <w:rPr>
          <w:b w:val="0"/>
        </w:rPr>
        <w:t>HESA fundamental review of graduate destinations and outcomes data: strategic group</w:t>
      </w:r>
    </w:p>
    <w:p w14:paraId="31C76259" w14:textId="77777777" w:rsidR="00D128BF" w:rsidRDefault="00D128BF" w:rsidP="00D128BF">
      <w:pPr>
        <w:pStyle w:val="Body-text"/>
      </w:pPr>
    </w:p>
    <w:p w14:paraId="4914C214" w14:textId="77777777" w:rsidR="00D128BF" w:rsidRDefault="00D128BF" w:rsidP="00D128BF">
      <w:pPr>
        <w:pStyle w:val="Heading2"/>
      </w:pPr>
      <w:r>
        <w:t>03 October 2016, 10:30 – 15:00</w:t>
      </w:r>
    </w:p>
    <w:p w14:paraId="3C6659A0" w14:textId="77777777" w:rsidR="00D128BF" w:rsidRDefault="00D128BF" w:rsidP="00D128BF">
      <w:pPr>
        <w:pStyle w:val="Heading2"/>
      </w:pPr>
      <w:r>
        <w:t>Brettenham House, 5 lancaster place, London, wc2e 7en</w:t>
      </w:r>
    </w:p>
    <w:p w14:paraId="3D89193B" w14:textId="77777777" w:rsidR="00894B0C" w:rsidRDefault="00894B0C" w:rsidP="00441EA0">
      <w:pPr>
        <w:pStyle w:val="Body-text"/>
      </w:pPr>
    </w:p>
    <w:p w14:paraId="4F99B88F" w14:textId="77777777" w:rsidR="00ED37F6" w:rsidRDefault="00ED37F6" w:rsidP="00441EA0">
      <w:pPr>
        <w:pStyle w:val="Body-text"/>
      </w:pPr>
    </w:p>
    <w:p w14:paraId="574A34C4" w14:textId="77777777" w:rsidR="00867993" w:rsidRDefault="00867993" w:rsidP="00441EA0">
      <w:pPr>
        <w:pStyle w:val="Body-text"/>
        <w:tabs>
          <w:tab w:val="left" w:pos="1701"/>
        </w:tabs>
        <w:rPr>
          <w:b/>
        </w:rPr>
      </w:pPr>
    </w:p>
    <w:p w14:paraId="54D735D8" w14:textId="77777777" w:rsidR="00894B0C" w:rsidRPr="00867993" w:rsidRDefault="00ED37F6" w:rsidP="00441EA0">
      <w:pPr>
        <w:pStyle w:val="Body-text"/>
        <w:tabs>
          <w:tab w:val="left" w:pos="1701"/>
        </w:tabs>
        <w:rPr>
          <w:b/>
        </w:rPr>
      </w:pPr>
      <w:r w:rsidRPr="00867993">
        <w:rPr>
          <w:b/>
        </w:rPr>
        <w:t>Present:</w:t>
      </w:r>
      <w:r w:rsidRPr="00867993">
        <w:rPr>
          <w:b/>
        </w:rPr>
        <w:tab/>
      </w:r>
    </w:p>
    <w:p w14:paraId="5F3975DC" w14:textId="77777777" w:rsidR="00B20E51" w:rsidRDefault="00B20E51" w:rsidP="00B20E51">
      <w:pPr>
        <w:pStyle w:val="Body-text"/>
        <w:tabs>
          <w:tab w:val="left" w:pos="1701"/>
        </w:tabs>
        <w:ind w:left="3600" w:hanging="3600"/>
      </w:pPr>
      <w:r>
        <w:t>Sarbani Banjeree</w:t>
      </w:r>
      <w:r>
        <w:tab/>
      </w:r>
      <w:r>
        <w:tab/>
        <w:t>Higher Education Funding Council for England</w:t>
      </w:r>
    </w:p>
    <w:p w14:paraId="3A6B6352" w14:textId="77777777" w:rsidR="00B20E51" w:rsidRDefault="00B20E51" w:rsidP="00B20E51">
      <w:pPr>
        <w:pStyle w:val="Body-text"/>
        <w:tabs>
          <w:tab w:val="left" w:pos="1701"/>
        </w:tabs>
        <w:ind w:left="3600" w:hanging="3600"/>
      </w:pPr>
      <w:r>
        <w:t>Matt Barnard</w:t>
      </w:r>
      <w:r>
        <w:tab/>
      </w:r>
      <w:r>
        <w:tab/>
      </w:r>
      <w:r w:rsidR="00F300E4">
        <w:t>HESA</w:t>
      </w:r>
    </w:p>
    <w:p w14:paraId="44CE17EE" w14:textId="77777777" w:rsidR="00B20E51" w:rsidRDefault="00B20E51" w:rsidP="00B20E51">
      <w:pPr>
        <w:pStyle w:val="Body-text"/>
        <w:tabs>
          <w:tab w:val="left" w:pos="1701"/>
        </w:tabs>
        <w:ind w:left="3600" w:hanging="3600"/>
      </w:pPr>
      <w:r>
        <w:t>Natasha Calvert</w:t>
      </w:r>
      <w:r>
        <w:tab/>
      </w:r>
      <w:r>
        <w:tab/>
        <w:t>National College for Teaching and Learning</w:t>
      </w:r>
    </w:p>
    <w:p w14:paraId="3178E8D1" w14:textId="777ABCFC" w:rsidR="00B20E51" w:rsidRDefault="00B20E51" w:rsidP="00B20E51">
      <w:pPr>
        <w:pStyle w:val="Body-text"/>
        <w:tabs>
          <w:tab w:val="left" w:pos="1701"/>
        </w:tabs>
        <w:ind w:left="3600" w:hanging="3600"/>
      </w:pPr>
      <w:r>
        <w:t>Dan Cook</w:t>
      </w:r>
      <w:r>
        <w:tab/>
      </w:r>
      <w:r>
        <w:tab/>
      </w:r>
      <w:r w:rsidR="00F300E4">
        <w:t>HESA</w:t>
      </w:r>
      <w:r w:rsidR="0032028E">
        <w:t xml:space="preserve"> (joined at 12.15)</w:t>
      </w:r>
    </w:p>
    <w:p w14:paraId="06886E39" w14:textId="77777777" w:rsidR="00B20E51" w:rsidRDefault="00B20E51" w:rsidP="00B20E51">
      <w:pPr>
        <w:pStyle w:val="Body-text"/>
        <w:tabs>
          <w:tab w:val="left" w:pos="1701"/>
        </w:tabs>
        <w:ind w:left="3600" w:hanging="3600"/>
      </w:pPr>
      <w:r>
        <w:t>Jackie Cresswell-Griffith</w:t>
      </w:r>
      <w:r>
        <w:tab/>
        <w:t>Higher Education Funding Council for Wales</w:t>
      </w:r>
    </w:p>
    <w:p w14:paraId="3AF94172" w14:textId="77777777" w:rsidR="00B20E51" w:rsidRDefault="00B20E51" w:rsidP="00B20E51">
      <w:pPr>
        <w:pStyle w:val="Body-text"/>
        <w:tabs>
          <w:tab w:val="left" w:pos="1701"/>
        </w:tabs>
        <w:ind w:left="3600" w:hanging="3600"/>
      </w:pPr>
      <w:r>
        <w:t>Pip Day</w:t>
      </w:r>
      <w:r>
        <w:tab/>
      </w:r>
      <w:r>
        <w:tab/>
      </w:r>
      <w:r w:rsidR="00F300E4">
        <w:t>HESA</w:t>
      </w:r>
    </w:p>
    <w:p w14:paraId="075089DC" w14:textId="1587B978" w:rsidR="00ED37F6" w:rsidRDefault="00D128BF" w:rsidP="00D128BF">
      <w:pPr>
        <w:pStyle w:val="Body-text"/>
        <w:tabs>
          <w:tab w:val="left" w:pos="1701"/>
        </w:tabs>
        <w:ind w:left="3600" w:hanging="3600"/>
      </w:pPr>
      <w:r>
        <w:t>Terry Dray</w:t>
      </w:r>
      <w:r>
        <w:tab/>
      </w:r>
      <w:r>
        <w:tab/>
        <w:t>Association of Graduate Careers Advisory Services</w:t>
      </w:r>
      <w:r w:rsidR="0064043A">
        <w:t>/</w:t>
      </w:r>
      <w:r w:rsidR="0064043A" w:rsidRPr="0064043A">
        <w:t xml:space="preserve"> </w:t>
      </w:r>
      <w:r w:rsidR="0064043A">
        <w:t>Liverpool John Moores University</w:t>
      </w:r>
    </w:p>
    <w:p w14:paraId="37C56F6D" w14:textId="77777777" w:rsidR="00D128BF" w:rsidRDefault="00D128BF" w:rsidP="00D128BF">
      <w:pPr>
        <w:pStyle w:val="Body-text"/>
        <w:tabs>
          <w:tab w:val="left" w:pos="1701"/>
        </w:tabs>
        <w:ind w:left="3600" w:hanging="3600"/>
      </w:pPr>
      <w:r>
        <w:t>Rosa Fernandez</w:t>
      </w:r>
      <w:r>
        <w:tab/>
      </w:r>
      <w:r>
        <w:tab/>
        <w:t>National Centre for Universities and Business</w:t>
      </w:r>
    </w:p>
    <w:p w14:paraId="2C506C69" w14:textId="77777777" w:rsidR="00B20E51" w:rsidRDefault="00B20E51" w:rsidP="00B20E51">
      <w:pPr>
        <w:pStyle w:val="Body-text"/>
        <w:tabs>
          <w:tab w:val="left" w:pos="1701"/>
        </w:tabs>
        <w:ind w:left="3600" w:hanging="3600"/>
      </w:pPr>
      <w:r>
        <w:t>Bob Gilworth</w:t>
      </w:r>
      <w:r>
        <w:tab/>
      </w:r>
      <w:r>
        <w:tab/>
      </w:r>
      <w:r w:rsidRPr="00D128BF">
        <w:t>University of London, Careers Group</w:t>
      </w:r>
    </w:p>
    <w:p w14:paraId="245BBA62" w14:textId="77777777" w:rsidR="00B20E51" w:rsidRDefault="00F300E4" w:rsidP="00B20E51">
      <w:pPr>
        <w:pStyle w:val="Body-text"/>
        <w:tabs>
          <w:tab w:val="left" w:pos="1701"/>
        </w:tabs>
        <w:ind w:left="3600" w:hanging="3600"/>
      </w:pPr>
      <w:r>
        <w:t>Rachel Hewitt</w:t>
      </w:r>
      <w:r>
        <w:tab/>
      </w:r>
      <w:r>
        <w:tab/>
        <w:t>H</w:t>
      </w:r>
      <w:r w:rsidR="00B20E51">
        <w:t>E</w:t>
      </w:r>
      <w:r>
        <w:t>S</w:t>
      </w:r>
      <w:r w:rsidR="00B20E51">
        <w:t>A</w:t>
      </w:r>
    </w:p>
    <w:p w14:paraId="6E0A0AF4" w14:textId="77777777" w:rsidR="00B20E51" w:rsidRDefault="00B20E51" w:rsidP="00B20E51">
      <w:pPr>
        <w:pStyle w:val="Body-text"/>
        <w:tabs>
          <w:tab w:val="left" w:pos="1701"/>
        </w:tabs>
        <w:ind w:left="3600" w:hanging="3600"/>
      </w:pPr>
      <w:r>
        <w:t>Denise Jones</w:t>
      </w:r>
      <w:r>
        <w:tab/>
      </w:r>
      <w:r>
        <w:tab/>
      </w:r>
      <w:r w:rsidR="00F300E4">
        <w:t>HESA</w:t>
      </w:r>
    </w:p>
    <w:p w14:paraId="1BD285CE" w14:textId="77777777" w:rsidR="00B20E51" w:rsidRDefault="00B20E51" w:rsidP="00B20E51">
      <w:pPr>
        <w:pStyle w:val="Body-text"/>
        <w:tabs>
          <w:tab w:val="left" w:pos="1701"/>
        </w:tabs>
        <w:ind w:left="3600" w:hanging="3600"/>
      </w:pPr>
      <w:r>
        <w:t>Stephen Meredith</w:t>
      </w:r>
      <w:r>
        <w:tab/>
        <w:t>Department for Education</w:t>
      </w:r>
    </w:p>
    <w:p w14:paraId="7092EB8D" w14:textId="77777777" w:rsidR="00D128BF" w:rsidRDefault="00D128BF" w:rsidP="00D128BF">
      <w:pPr>
        <w:pStyle w:val="Body-text"/>
        <w:tabs>
          <w:tab w:val="left" w:pos="1701"/>
        </w:tabs>
        <w:ind w:left="3600" w:hanging="3600"/>
      </w:pPr>
      <w:r>
        <w:t>Alan Roberts</w:t>
      </w:r>
      <w:r>
        <w:tab/>
      </w:r>
      <w:r>
        <w:tab/>
        <w:t>National Union of Students</w:t>
      </w:r>
    </w:p>
    <w:p w14:paraId="4F6379AE" w14:textId="6DBDC828" w:rsidR="00B20E51" w:rsidRDefault="00B20E51" w:rsidP="00B20E51">
      <w:pPr>
        <w:pStyle w:val="Body-text"/>
        <w:tabs>
          <w:tab w:val="left" w:pos="1701"/>
        </w:tabs>
        <w:ind w:left="3600" w:hanging="3600"/>
      </w:pPr>
      <w:r>
        <w:t>Gary Sprules</w:t>
      </w:r>
      <w:r>
        <w:tab/>
      </w:r>
      <w:r>
        <w:tab/>
      </w:r>
      <w:r w:rsidRPr="00D128BF">
        <w:t>Higher Education Strategic Planners Association</w:t>
      </w:r>
      <w:r w:rsidR="0064043A">
        <w:t>/</w:t>
      </w:r>
      <w:r w:rsidR="0064043A" w:rsidRPr="0064043A">
        <w:t xml:space="preserve"> </w:t>
      </w:r>
      <w:r w:rsidR="0064043A" w:rsidRPr="00D128BF">
        <w:t>University of the Arts, London</w:t>
      </w:r>
    </w:p>
    <w:p w14:paraId="363FF2FC" w14:textId="703164AE" w:rsidR="00B20E51" w:rsidRDefault="00B20E51" w:rsidP="00B20E51">
      <w:pPr>
        <w:pStyle w:val="Body-text"/>
        <w:tabs>
          <w:tab w:val="left" w:pos="1701"/>
        </w:tabs>
        <w:ind w:left="3600" w:hanging="3600"/>
      </w:pPr>
      <w:r>
        <w:t>Michael Weathe</w:t>
      </w:r>
      <w:r w:rsidR="0064043A">
        <w:t>rup</w:t>
      </w:r>
      <w:r w:rsidR="0064043A">
        <w:tab/>
        <w:t>Department for the Economy, Northern Ireland</w:t>
      </w:r>
    </w:p>
    <w:p w14:paraId="4E59812B" w14:textId="04835A52" w:rsidR="00D128BF" w:rsidRDefault="00D128BF" w:rsidP="00D128BF">
      <w:pPr>
        <w:pStyle w:val="Body-text"/>
        <w:tabs>
          <w:tab w:val="left" w:pos="1701"/>
        </w:tabs>
        <w:ind w:left="3600" w:hanging="3600"/>
      </w:pPr>
      <w:r>
        <w:t>Andrew Whitmore</w:t>
      </w:r>
      <w:r>
        <w:tab/>
      </w:r>
      <w:r w:rsidRPr="00D128BF">
        <w:t>Association of Graduate Careers Advisory Services</w:t>
      </w:r>
      <w:r w:rsidR="0064043A">
        <w:t>/</w:t>
      </w:r>
      <w:r w:rsidR="0064043A" w:rsidRPr="0064043A">
        <w:t xml:space="preserve"> </w:t>
      </w:r>
      <w:r w:rsidR="0064043A" w:rsidRPr="00D128BF">
        <w:t>University of Manchester</w:t>
      </w:r>
    </w:p>
    <w:p w14:paraId="5ABD1D5F" w14:textId="77777777" w:rsidR="00B20E51" w:rsidRDefault="00B20E51" w:rsidP="00B20E51">
      <w:pPr>
        <w:pStyle w:val="Body-text"/>
        <w:tabs>
          <w:tab w:val="left" w:pos="1701"/>
        </w:tabs>
        <w:ind w:left="3600" w:hanging="3600"/>
      </w:pPr>
      <w:r>
        <w:t>Chris Williams</w:t>
      </w:r>
      <w:r>
        <w:tab/>
      </w:r>
      <w:r>
        <w:tab/>
        <w:t>Welsh Government</w:t>
      </w:r>
    </w:p>
    <w:p w14:paraId="788D37B3" w14:textId="7839B8CE" w:rsidR="00D128BF" w:rsidRDefault="00D128BF" w:rsidP="00867993">
      <w:pPr>
        <w:pStyle w:val="Body-text"/>
        <w:tabs>
          <w:tab w:val="left" w:pos="1701"/>
        </w:tabs>
        <w:ind w:left="3600" w:hanging="3600"/>
      </w:pPr>
      <w:r>
        <w:t>Keith Zimmerman</w:t>
      </w:r>
      <w:r>
        <w:tab/>
        <w:t>Open University</w:t>
      </w:r>
    </w:p>
    <w:p w14:paraId="5C9ED7E5" w14:textId="77777777" w:rsidR="00D128BF" w:rsidRDefault="00D128BF" w:rsidP="00441EA0">
      <w:pPr>
        <w:pStyle w:val="Body-text"/>
        <w:tabs>
          <w:tab w:val="left" w:pos="1701"/>
        </w:tabs>
      </w:pPr>
    </w:p>
    <w:p w14:paraId="7353C534" w14:textId="3012F4A9" w:rsidR="0064043A" w:rsidRPr="00867993" w:rsidRDefault="0064043A" w:rsidP="00441EA0">
      <w:pPr>
        <w:pStyle w:val="Body-text"/>
        <w:tabs>
          <w:tab w:val="left" w:pos="1701"/>
        </w:tabs>
        <w:rPr>
          <w:b/>
        </w:rPr>
      </w:pPr>
      <w:r w:rsidRPr="00867993">
        <w:rPr>
          <w:b/>
        </w:rPr>
        <w:t>In attendance:</w:t>
      </w:r>
    </w:p>
    <w:p w14:paraId="6CA97C8B" w14:textId="77777777" w:rsidR="0064043A" w:rsidRDefault="0064043A" w:rsidP="0064043A">
      <w:pPr>
        <w:pStyle w:val="Body-text"/>
        <w:tabs>
          <w:tab w:val="left" w:pos="1701"/>
        </w:tabs>
        <w:ind w:left="3600" w:hanging="3600"/>
      </w:pPr>
      <w:r>
        <w:t>Clare Lyonette</w:t>
      </w:r>
      <w:r>
        <w:tab/>
      </w:r>
      <w:r>
        <w:tab/>
        <w:t>Warwick Institute for Employment Research</w:t>
      </w:r>
    </w:p>
    <w:p w14:paraId="6240C026" w14:textId="0351F10C" w:rsidR="0064043A" w:rsidRDefault="0064043A" w:rsidP="00867993">
      <w:pPr>
        <w:pStyle w:val="Body-text"/>
        <w:tabs>
          <w:tab w:val="left" w:pos="1701"/>
        </w:tabs>
        <w:ind w:left="3600" w:hanging="3600"/>
      </w:pPr>
      <w:r>
        <w:t>Rachel Moreton</w:t>
      </w:r>
      <w:r>
        <w:tab/>
      </w:r>
      <w:r>
        <w:tab/>
        <w:t>CFE Research</w:t>
      </w:r>
    </w:p>
    <w:p w14:paraId="65C74761" w14:textId="77777777" w:rsidR="0064043A" w:rsidRDefault="0064043A" w:rsidP="00441EA0">
      <w:pPr>
        <w:pStyle w:val="Body-text"/>
        <w:tabs>
          <w:tab w:val="left" w:pos="1701"/>
        </w:tabs>
      </w:pPr>
    </w:p>
    <w:p w14:paraId="54CD4E6C" w14:textId="09E65E96" w:rsidR="00D128BF" w:rsidRPr="00867993" w:rsidRDefault="00ED37F6" w:rsidP="00441EA0">
      <w:pPr>
        <w:pStyle w:val="Body-text"/>
        <w:tabs>
          <w:tab w:val="left" w:pos="1701"/>
        </w:tabs>
        <w:rPr>
          <w:b/>
        </w:rPr>
      </w:pPr>
      <w:r w:rsidRPr="00867993">
        <w:rPr>
          <w:b/>
        </w:rPr>
        <w:t>Apologies:</w:t>
      </w:r>
      <w:r w:rsidR="00D128BF" w:rsidRPr="00867993">
        <w:rPr>
          <w:b/>
        </w:rPr>
        <w:t xml:space="preserve"> </w:t>
      </w:r>
    </w:p>
    <w:p w14:paraId="63466417" w14:textId="77777777" w:rsidR="00B20E51" w:rsidRDefault="00B20E51" w:rsidP="00441EA0">
      <w:pPr>
        <w:pStyle w:val="Body-text"/>
        <w:tabs>
          <w:tab w:val="left" w:pos="1701"/>
        </w:tabs>
      </w:pPr>
      <w:r w:rsidRPr="00B20E51">
        <w:t>Claire Callender</w:t>
      </w:r>
      <w:r w:rsidRPr="00B20E51">
        <w:tab/>
      </w:r>
      <w:r w:rsidRPr="00B20E51">
        <w:tab/>
      </w:r>
      <w:r w:rsidRPr="00B20E51">
        <w:tab/>
      </w:r>
      <w:r>
        <w:tab/>
      </w:r>
      <w:r w:rsidRPr="00B20E51">
        <w:t>UCL Institute of Education and Birkbeck University</w:t>
      </w:r>
    </w:p>
    <w:p w14:paraId="1E7AC4E9" w14:textId="77777777" w:rsidR="00ED37F6" w:rsidRDefault="00D128BF" w:rsidP="00441EA0">
      <w:pPr>
        <w:pStyle w:val="Body-text"/>
        <w:tabs>
          <w:tab w:val="left" w:pos="1701"/>
        </w:tabs>
      </w:pPr>
      <w:r>
        <w:t>Helen Mansfield</w:t>
      </w:r>
      <w:r>
        <w:tab/>
      </w:r>
      <w:r>
        <w:tab/>
      </w:r>
      <w:r>
        <w:tab/>
      </w:r>
      <w:r>
        <w:tab/>
        <w:t>Health Education England</w:t>
      </w:r>
      <w:r w:rsidR="00ED37F6">
        <w:tab/>
      </w:r>
    </w:p>
    <w:p w14:paraId="66E0F077" w14:textId="02425B99" w:rsidR="00ED37F6" w:rsidRDefault="00D128BF" w:rsidP="00D128BF">
      <w:pPr>
        <w:pStyle w:val="Body-text"/>
        <w:tabs>
          <w:tab w:val="left" w:pos="1701"/>
        </w:tabs>
        <w:ind w:left="3600" w:hanging="3600"/>
      </w:pPr>
      <w:r>
        <w:t>Eileen Schofield</w:t>
      </w:r>
      <w:r>
        <w:tab/>
      </w:r>
      <w:r>
        <w:tab/>
      </w:r>
      <w:r w:rsidRPr="00D128BF">
        <w:t>Association of Heads of University Administration</w:t>
      </w:r>
      <w:r w:rsidR="0064043A">
        <w:t>/</w:t>
      </w:r>
      <w:r w:rsidR="0064043A" w:rsidRPr="0064043A">
        <w:t xml:space="preserve"> </w:t>
      </w:r>
      <w:r w:rsidR="0064043A">
        <w:t>University of Stirling</w:t>
      </w:r>
    </w:p>
    <w:p w14:paraId="5E75EC8E" w14:textId="77777777" w:rsidR="00B20E51" w:rsidRDefault="00B20E51" w:rsidP="00D128BF">
      <w:pPr>
        <w:pStyle w:val="Body-text"/>
        <w:tabs>
          <w:tab w:val="left" w:pos="1701"/>
        </w:tabs>
      </w:pPr>
      <w:r w:rsidRPr="00B20E51">
        <w:t>Alan Sloan</w:t>
      </w:r>
      <w:r w:rsidRPr="00B20E51">
        <w:tab/>
      </w:r>
      <w:r w:rsidRPr="00B20E51">
        <w:tab/>
      </w:r>
      <w:r w:rsidRPr="00B20E51">
        <w:tab/>
      </w:r>
      <w:r w:rsidRPr="00B20E51">
        <w:tab/>
        <w:t>Scottish Government</w:t>
      </w:r>
    </w:p>
    <w:p w14:paraId="6D00EFEE" w14:textId="77777777" w:rsidR="00ED37F6" w:rsidRDefault="00D128BF" w:rsidP="00D128BF">
      <w:pPr>
        <w:pStyle w:val="Body-text"/>
        <w:tabs>
          <w:tab w:val="left" w:pos="1701"/>
        </w:tabs>
      </w:pPr>
      <w:r>
        <w:t>Martin Smith</w:t>
      </w:r>
      <w:r>
        <w:tab/>
      </w:r>
      <w:r>
        <w:tab/>
      </w:r>
      <w:r>
        <w:tab/>
      </w:r>
      <w:r>
        <w:tab/>
        <w:t>Scottish Funding Council</w:t>
      </w:r>
    </w:p>
    <w:p w14:paraId="58017053" w14:textId="77777777" w:rsidR="00D128BF" w:rsidRPr="00E67A3A" w:rsidRDefault="00D128BF" w:rsidP="00441EA0">
      <w:pPr>
        <w:pStyle w:val="Body-text"/>
        <w:pBdr>
          <w:bottom w:val="single" w:sz="4" w:space="1" w:color="auto"/>
        </w:pBdr>
      </w:pPr>
    </w:p>
    <w:p w14:paraId="4A3F0B86" w14:textId="77777777" w:rsidR="00ED37F6" w:rsidRDefault="00ED37F6" w:rsidP="00441EA0">
      <w:pPr>
        <w:pStyle w:val="Body-text"/>
      </w:pPr>
    </w:p>
    <w:p w14:paraId="6FA9F8AE" w14:textId="77777777" w:rsidR="00ED37F6" w:rsidRPr="00867993" w:rsidRDefault="00ED37F6" w:rsidP="00441EA0">
      <w:pPr>
        <w:pStyle w:val="Body-text"/>
        <w:numPr>
          <w:ilvl w:val="0"/>
          <w:numId w:val="2"/>
        </w:numPr>
        <w:tabs>
          <w:tab w:val="right" w:pos="9456"/>
        </w:tabs>
        <w:ind w:left="360"/>
        <w:rPr>
          <w:b/>
        </w:rPr>
      </w:pPr>
      <w:r w:rsidRPr="00867993">
        <w:rPr>
          <w:b/>
        </w:rPr>
        <w:t xml:space="preserve">Welcome and introductions </w:t>
      </w:r>
    </w:p>
    <w:p w14:paraId="66B625B7" w14:textId="73E89ACE" w:rsidR="00B20E51" w:rsidRDefault="00B20E51" w:rsidP="00B20E51">
      <w:pPr>
        <w:pStyle w:val="Body-text"/>
        <w:tabs>
          <w:tab w:val="right" w:pos="9456"/>
        </w:tabs>
      </w:pPr>
      <w:r>
        <w:t xml:space="preserve">RH welcomed the group to the second meeting of the strategic group for the destinations and outcomes review. All members of the group introduced themselves and their role within their organisation. </w:t>
      </w:r>
    </w:p>
    <w:p w14:paraId="3D87CEA4" w14:textId="32801021" w:rsidR="000730A6" w:rsidRDefault="000730A6" w:rsidP="00B20E51">
      <w:pPr>
        <w:pStyle w:val="Body-text"/>
        <w:tabs>
          <w:tab w:val="right" w:pos="9456"/>
        </w:tabs>
      </w:pPr>
    </w:p>
    <w:p w14:paraId="75F79CA6" w14:textId="36535626" w:rsidR="000730A6" w:rsidRDefault="000730A6" w:rsidP="00B20E51">
      <w:pPr>
        <w:pStyle w:val="Body-text"/>
        <w:tabs>
          <w:tab w:val="right" w:pos="9456"/>
        </w:tabs>
      </w:pPr>
      <w:r>
        <w:lastRenderedPageBreak/>
        <w:t xml:space="preserve">RH introduced the purpose of the day as being first to update the group on activity so far, and second to canvas their advice and guidance on areas where responses to the consultation had been unclear, complex or inconsistent. The key areas to be covered were the level of agreement that centralisation would offer more demonstrably robust results, and </w:t>
      </w:r>
      <w:r w:rsidR="000B6E3F">
        <w:t>timescales for a survey or surveys.</w:t>
      </w:r>
    </w:p>
    <w:p w14:paraId="74D1DD15" w14:textId="77777777" w:rsidR="00441EA0" w:rsidRDefault="00441EA0" w:rsidP="00441EA0">
      <w:pPr>
        <w:pStyle w:val="Body-text"/>
        <w:tabs>
          <w:tab w:val="right" w:pos="9456"/>
        </w:tabs>
      </w:pPr>
    </w:p>
    <w:p w14:paraId="321B5548" w14:textId="77777777" w:rsidR="00ED37F6" w:rsidRPr="00867993" w:rsidRDefault="00ED37F6" w:rsidP="00441EA0">
      <w:pPr>
        <w:pStyle w:val="Body-text"/>
        <w:numPr>
          <w:ilvl w:val="0"/>
          <w:numId w:val="2"/>
        </w:numPr>
        <w:tabs>
          <w:tab w:val="right" w:pos="9456"/>
        </w:tabs>
        <w:ind w:left="360"/>
        <w:rPr>
          <w:b/>
        </w:rPr>
      </w:pPr>
      <w:r w:rsidRPr="00867993">
        <w:rPr>
          <w:b/>
        </w:rPr>
        <w:t>Minutes from the previous meeting</w:t>
      </w:r>
    </w:p>
    <w:p w14:paraId="5DA37F4D" w14:textId="744EDC15" w:rsidR="00B20E51" w:rsidRDefault="00F300E4" w:rsidP="00B20E51">
      <w:pPr>
        <w:pStyle w:val="Body-text"/>
        <w:tabs>
          <w:tab w:val="right" w:pos="9456"/>
        </w:tabs>
      </w:pPr>
      <w:r>
        <w:t>It was agreed that all the actions from the previous meeting had been met, and no further</w:t>
      </w:r>
      <w:r w:rsidR="00403D4A">
        <w:t xml:space="preserve"> comments were received on the M</w:t>
      </w:r>
      <w:r>
        <w:t>inutes.</w:t>
      </w:r>
    </w:p>
    <w:p w14:paraId="64578623" w14:textId="77777777" w:rsidR="00441EA0" w:rsidRDefault="00441EA0" w:rsidP="00441EA0">
      <w:pPr>
        <w:pStyle w:val="Body-text"/>
        <w:tabs>
          <w:tab w:val="right" w:pos="9456"/>
        </w:tabs>
      </w:pPr>
    </w:p>
    <w:p w14:paraId="0CC1CC67" w14:textId="77777777" w:rsidR="00ED37F6" w:rsidRPr="00867993" w:rsidRDefault="00F300E4" w:rsidP="00441EA0">
      <w:pPr>
        <w:pStyle w:val="Body-text"/>
        <w:numPr>
          <w:ilvl w:val="0"/>
          <w:numId w:val="2"/>
        </w:numPr>
        <w:tabs>
          <w:tab w:val="right" w:pos="9456"/>
        </w:tabs>
        <w:ind w:left="360"/>
        <w:rPr>
          <w:b/>
        </w:rPr>
      </w:pPr>
      <w:r w:rsidRPr="00867993">
        <w:rPr>
          <w:b/>
        </w:rPr>
        <w:t>Commissioned research</w:t>
      </w:r>
    </w:p>
    <w:p w14:paraId="01CB3D2D" w14:textId="77777777" w:rsidR="00F300E4" w:rsidRDefault="00F300E4" w:rsidP="00F300E4">
      <w:pPr>
        <w:pStyle w:val="Body-text"/>
        <w:tabs>
          <w:tab w:val="right" w:pos="9456"/>
        </w:tabs>
      </w:pPr>
      <w:r>
        <w:t>RH introd</w:t>
      </w:r>
      <w:r w:rsidR="00BB0E2E">
        <w:t xml:space="preserve">uced the two pieces of research commissioned by HEFCE to support the </w:t>
      </w:r>
      <w:r w:rsidR="00C90097">
        <w:t xml:space="preserve">review and informed the group that the research projects would be published alongside the consultation synthesis. </w:t>
      </w:r>
    </w:p>
    <w:p w14:paraId="6CF68BD6" w14:textId="77777777" w:rsidR="00BB0E2E" w:rsidRDefault="00BB0E2E" w:rsidP="00F300E4">
      <w:pPr>
        <w:pStyle w:val="Body-text"/>
        <w:tabs>
          <w:tab w:val="right" w:pos="9456"/>
        </w:tabs>
      </w:pPr>
    </w:p>
    <w:p w14:paraId="495F7C31" w14:textId="77777777" w:rsidR="00BB0E2E" w:rsidRDefault="00BB0E2E" w:rsidP="00BB0E2E">
      <w:pPr>
        <w:pStyle w:val="Body-text"/>
        <w:numPr>
          <w:ilvl w:val="0"/>
          <w:numId w:val="7"/>
        </w:numPr>
        <w:tabs>
          <w:tab w:val="right" w:pos="9456"/>
        </w:tabs>
      </w:pPr>
      <w:r>
        <w:t>Richer information on student views (Paper 1)</w:t>
      </w:r>
    </w:p>
    <w:p w14:paraId="099B7C2F" w14:textId="77777777" w:rsidR="0032028E" w:rsidRDefault="00BB0E2E" w:rsidP="00BB0E2E">
      <w:pPr>
        <w:pStyle w:val="Body-text"/>
        <w:tabs>
          <w:tab w:val="right" w:pos="9456"/>
        </w:tabs>
      </w:pPr>
      <w:r>
        <w:t>CL presented on the Warwick Institute for Employment Research report titled ‘Richer</w:t>
      </w:r>
      <w:r w:rsidR="0032028E">
        <w:t xml:space="preserve"> information on student views’.</w:t>
      </w:r>
    </w:p>
    <w:p w14:paraId="63ABDC0F" w14:textId="77777777" w:rsidR="0032028E" w:rsidRDefault="0032028E" w:rsidP="00BB0E2E">
      <w:pPr>
        <w:pStyle w:val="Body-text"/>
        <w:tabs>
          <w:tab w:val="right" w:pos="9456"/>
        </w:tabs>
      </w:pPr>
    </w:p>
    <w:p w14:paraId="6F2C407C" w14:textId="1019848A" w:rsidR="00BB0E2E" w:rsidRDefault="0032028E" w:rsidP="00BB0E2E">
      <w:pPr>
        <w:pStyle w:val="Body-text"/>
        <w:tabs>
          <w:tab w:val="right" w:pos="9456"/>
        </w:tabs>
      </w:pPr>
      <w:r>
        <w:t>Questions were ask</w:t>
      </w:r>
      <w:r w:rsidR="00BB0E2E">
        <w:t>ed about the inferences which could be made about student views at different points in their HE experi</w:t>
      </w:r>
      <w:r w:rsidR="00C90097">
        <w:t>ence, and the make-up of the focus groups.</w:t>
      </w:r>
    </w:p>
    <w:p w14:paraId="0FB2C957" w14:textId="77777777" w:rsidR="00BB0E2E" w:rsidRDefault="00BB0E2E" w:rsidP="00BB0E2E">
      <w:pPr>
        <w:pStyle w:val="Body-text"/>
        <w:tabs>
          <w:tab w:val="right" w:pos="9456"/>
        </w:tabs>
      </w:pPr>
    </w:p>
    <w:p w14:paraId="58E2BE7C" w14:textId="77777777" w:rsidR="00BB0E2E" w:rsidRDefault="00BB0E2E" w:rsidP="00BB0E2E">
      <w:pPr>
        <w:pStyle w:val="Body-text"/>
        <w:numPr>
          <w:ilvl w:val="0"/>
          <w:numId w:val="7"/>
        </w:numPr>
        <w:tabs>
          <w:tab w:val="right" w:pos="9456"/>
        </w:tabs>
      </w:pPr>
      <w:r>
        <w:t>What do good outcomes from HE look like? (Paper 2)</w:t>
      </w:r>
    </w:p>
    <w:p w14:paraId="7DEB820E" w14:textId="77777777" w:rsidR="0032028E" w:rsidRDefault="00C90097" w:rsidP="00C90097">
      <w:pPr>
        <w:pStyle w:val="Body-text"/>
        <w:tabs>
          <w:tab w:val="right" w:pos="9456"/>
        </w:tabs>
      </w:pPr>
      <w:r>
        <w:t>RM presented on the CFE research report titled ‘Wh</w:t>
      </w:r>
      <w:r w:rsidR="0032028E">
        <w:t>at do good outcomes look like?’</w:t>
      </w:r>
    </w:p>
    <w:p w14:paraId="5173E94F" w14:textId="77777777" w:rsidR="0032028E" w:rsidRDefault="0032028E" w:rsidP="00C90097">
      <w:pPr>
        <w:pStyle w:val="Body-text"/>
        <w:tabs>
          <w:tab w:val="right" w:pos="9456"/>
        </w:tabs>
      </w:pPr>
    </w:p>
    <w:p w14:paraId="0DB27783" w14:textId="403BCEA8" w:rsidR="00C90097" w:rsidRDefault="00C90097" w:rsidP="00C90097">
      <w:pPr>
        <w:pStyle w:val="Body-text"/>
        <w:tabs>
          <w:tab w:val="right" w:pos="9456"/>
        </w:tabs>
      </w:pPr>
      <w:r>
        <w:t xml:space="preserve">Questions were asked about consideration of how different size organisations have different outcomes from higher education. </w:t>
      </w:r>
    </w:p>
    <w:p w14:paraId="129F959D" w14:textId="77777777" w:rsidR="00441EA0" w:rsidRDefault="00441EA0" w:rsidP="00441EA0">
      <w:pPr>
        <w:pStyle w:val="Body-text"/>
        <w:tabs>
          <w:tab w:val="right" w:pos="9456"/>
        </w:tabs>
      </w:pPr>
    </w:p>
    <w:p w14:paraId="0F3B6448" w14:textId="77777777" w:rsidR="00ED37F6" w:rsidRPr="00867993" w:rsidRDefault="00C90097" w:rsidP="00441EA0">
      <w:pPr>
        <w:pStyle w:val="Body-text"/>
        <w:numPr>
          <w:ilvl w:val="0"/>
          <w:numId w:val="2"/>
        </w:numPr>
        <w:tabs>
          <w:tab w:val="right" w:pos="9456"/>
        </w:tabs>
        <w:ind w:left="360"/>
        <w:rPr>
          <w:b/>
        </w:rPr>
      </w:pPr>
      <w:r w:rsidRPr="00867993">
        <w:rPr>
          <w:b/>
        </w:rPr>
        <w:t>Outcomes from consultation</w:t>
      </w:r>
    </w:p>
    <w:p w14:paraId="7482D321" w14:textId="706B4514" w:rsidR="00C90097" w:rsidRDefault="007F5D01" w:rsidP="00C90097">
      <w:pPr>
        <w:pStyle w:val="Body-text"/>
        <w:tabs>
          <w:tab w:val="right" w:pos="9456"/>
        </w:tabs>
      </w:pPr>
      <w:r>
        <w:t xml:space="preserve">RH and DC presented </w:t>
      </w:r>
      <w:r w:rsidR="00E00700">
        <w:t>the main findings from the c</w:t>
      </w:r>
      <w:r>
        <w:t>onsultation</w:t>
      </w:r>
      <w:r w:rsidR="00E00700">
        <w:t xml:space="preserve"> responses.</w:t>
      </w:r>
      <w:r w:rsidR="00A17BB8">
        <w:t xml:space="preserve"> </w:t>
      </w:r>
      <w:r w:rsidR="00867993">
        <w:t>A</w:t>
      </w:r>
      <w:r w:rsidR="00516174">
        <w:t xml:space="preserve"> copy of the draft </w:t>
      </w:r>
      <w:r w:rsidR="00516174" w:rsidRPr="00516174">
        <w:rPr>
          <w:i/>
        </w:rPr>
        <w:t>S</w:t>
      </w:r>
      <w:r w:rsidR="00867993" w:rsidRPr="00516174">
        <w:rPr>
          <w:i/>
        </w:rPr>
        <w:t>y</w:t>
      </w:r>
      <w:r w:rsidR="00516174" w:rsidRPr="00516174">
        <w:rPr>
          <w:i/>
        </w:rPr>
        <w:t>nthesis of c</w:t>
      </w:r>
      <w:r w:rsidR="00867993" w:rsidRPr="00516174">
        <w:rPr>
          <w:i/>
        </w:rPr>
        <w:t>onsultation responses</w:t>
      </w:r>
      <w:r w:rsidR="00867993">
        <w:t xml:space="preserve"> had been circulated to the group previously.</w:t>
      </w:r>
    </w:p>
    <w:p w14:paraId="5E4609DF" w14:textId="38E33E84" w:rsidR="000730A6" w:rsidRDefault="000730A6" w:rsidP="00C90097">
      <w:pPr>
        <w:pStyle w:val="Body-text"/>
        <w:tabs>
          <w:tab w:val="right" w:pos="9456"/>
        </w:tabs>
      </w:pPr>
    </w:p>
    <w:p w14:paraId="00E2325C" w14:textId="634FCF2B" w:rsidR="000730A6" w:rsidRDefault="000730A6" w:rsidP="00C90097">
      <w:pPr>
        <w:pStyle w:val="Body-text"/>
        <w:tabs>
          <w:tab w:val="right" w:pos="9456"/>
        </w:tabs>
      </w:pPr>
      <w:r>
        <w:t>Questions and points for clarification were taken on a range of issues during the presentation.</w:t>
      </w:r>
    </w:p>
    <w:p w14:paraId="59EA82F0" w14:textId="77777777" w:rsidR="00441EA0" w:rsidRDefault="00441EA0" w:rsidP="00441EA0">
      <w:pPr>
        <w:pStyle w:val="Body-text"/>
        <w:tabs>
          <w:tab w:val="right" w:pos="9456"/>
        </w:tabs>
      </w:pPr>
    </w:p>
    <w:p w14:paraId="76C5E04F" w14:textId="49C42CD7" w:rsidR="00E00700" w:rsidRPr="00867993" w:rsidRDefault="00E00700" w:rsidP="00441EA0">
      <w:pPr>
        <w:pStyle w:val="Body-text"/>
        <w:numPr>
          <w:ilvl w:val="0"/>
          <w:numId w:val="2"/>
        </w:numPr>
        <w:tabs>
          <w:tab w:val="right" w:pos="9456"/>
        </w:tabs>
        <w:ind w:left="360"/>
        <w:rPr>
          <w:b/>
        </w:rPr>
      </w:pPr>
      <w:r w:rsidRPr="00867993">
        <w:rPr>
          <w:b/>
        </w:rPr>
        <w:t xml:space="preserve">Centralisation – what could it mean? </w:t>
      </w:r>
      <w:r w:rsidRPr="00867993">
        <w:t>(Paper 3)</w:t>
      </w:r>
    </w:p>
    <w:p w14:paraId="262167C9" w14:textId="27117C5F" w:rsidR="00E00700" w:rsidRDefault="00BF3CEE" w:rsidP="00E00700">
      <w:pPr>
        <w:pStyle w:val="Body-text"/>
        <w:tabs>
          <w:tab w:val="right" w:pos="9456"/>
        </w:tabs>
      </w:pPr>
      <w:r>
        <w:t xml:space="preserve">Consideration of centralisation was in the original </w:t>
      </w:r>
      <w:r w:rsidRPr="00BF3CEE">
        <w:rPr>
          <w:i/>
        </w:rPr>
        <w:t>Remit</w:t>
      </w:r>
      <w:r>
        <w:t xml:space="preserve"> for the Review</w:t>
      </w:r>
      <w:r w:rsidR="0048787A">
        <w:t>. T</w:t>
      </w:r>
      <w:r>
        <w:t xml:space="preserve">he consultation had </w:t>
      </w:r>
      <w:r w:rsidR="0048787A">
        <w:t xml:space="preserve">not revealed </w:t>
      </w:r>
      <w:r>
        <w:t>consistent views</w:t>
      </w:r>
      <w:r w:rsidR="0032028E">
        <w:t xml:space="preserve"> on this matter</w:t>
      </w:r>
      <w:r w:rsidR="0048787A">
        <w:t>, and</w:t>
      </w:r>
      <w:r>
        <w:t xml:space="preserve"> HESA required the Strategic Group’s advice on how to </w:t>
      </w:r>
      <w:r w:rsidR="00516174">
        <w:t>proceed</w:t>
      </w:r>
      <w:r>
        <w:t xml:space="preserve">. </w:t>
      </w:r>
      <w:r w:rsidR="00F001B7">
        <w:t>DC presented a number of examples</w:t>
      </w:r>
      <w:r w:rsidR="00581E33">
        <w:t xml:space="preserve"> </w:t>
      </w:r>
      <w:r w:rsidR="00F001B7">
        <w:t>of “centralisation”</w:t>
      </w:r>
      <w:r w:rsidR="00E00700">
        <w:t xml:space="preserve"> </w:t>
      </w:r>
      <w:r w:rsidR="00F001B7">
        <w:t>in operation elsewhere in the sector (</w:t>
      </w:r>
      <w:r w:rsidR="00581E33">
        <w:t>P</w:t>
      </w:r>
      <w:r w:rsidR="00E00700">
        <w:t xml:space="preserve">aper </w:t>
      </w:r>
      <w:r w:rsidR="00581E33">
        <w:t>3</w:t>
      </w:r>
      <w:r w:rsidR="00F001B7">
        <w:t>)</w:t>
      </w:r>
      <w:r w:rsidR="00E00700">
        <w:t xml:space="preserve"> and asked the group t</w:t>
      </w:r>
      <w:r w:rsidR="00F001B7">
        <w:t>o consider the questions posed.</w:t>
      </w:r>
    </w:p>
    <w:p w14:paraId="36AB5740" w14:textId="686325B9" w:rsidR="00E00700" w:rsidRDefault="00E00700" w:rsidP="00E00700">
      <w:pPr>
        <w:pStyle w:val="Body-text"/>
        <w:tabs>
          <w:tab w:val="right" w:pos="9456"/>
        </w:tabs>
      </w:pPr>
    </w:p>
    <w:p w14:paraId="3EAB2949" w14:textId="1B580192" w:rsidR="00E00700" w:rsidRDefault="00585642" w:rsidP="00E00700">
      <w:pPr>
        <w:pStyle w:val="Body-text"/>
        <w:tabs>
          <w:tab w:val="right" w:pos="9456"/>
        </w:tabs>
      </w:pPr>
      <w:r>
        <w:t>A variety of discussions were captured in groups, and in the following plenary session, including the following points:</w:t>
      </w:r>
    </w:p>
    <w:p w14:paraId="1A410214" w14:textId="77777777" w:rsidR="00585642" w:rsidRDefault="00585642" w:rsidP="00E00700">
      <w:pPr>
        <w:pStyle w:val="Body-text"/>
        <w:tabs>
          <w:tab w:val="right" w:pos="9456"/>
        </w:tabs>
      </w:pPr>
    </w:p>
    <w:p w14:paraId="6831C8D5" w14:textId="4F50301B" w:rsidR="00E00700" w:rsidRPr="00E00700" w:rsidRDefault="00585642" w:rsidP="00E00700">
      <w:pPr>
        <w:numPr>
          <w:ilvl w:val="0"/>
          <w:numId w:val="9"/>
        </w:numPr>
        <w:contextualSpacing/>
        <w:rPr>
          <w:rFonts w:asciiTheme="minorHAnsi" w:eastAsia="Times New Roman" w:hAnsiTheme="minorHAnsi" w:cs="Times New Roman"/>
        </w:rPr>
      </w:pPr>
      <w:r>
        <w:rPr>
          <w:rFonts w:asciiTheme="minorHAnsi" w:eastAsia="Times New Roman" w:hAnsiTheme="minorHAnsi" w:cs="Times New Roman"/>
        </w:rPr>
        <w:t>Centralisation aids standardisation and ‘</w:t>
      </w:r>
      <w:r w:rsidR="00E00700" w:rsidRPr="00E00700">
        <w:rPr>
          <w:rFonts w:asciiTheme="minorHAnsi" w:eastAsia="Times New Roman" w:hAnsiTheme="minorHAnsi" w:cs="Times New Roman"/>
        </w:rPr>
        <w:t>levels the playing field</w:t>
      </w:r>
      <w:r>
        <w:rPr>
          <w:rFonts w:asciiTheme="minorHAnsi" w:eastAsia="Times New Roman" w:hAnsiTheme="minorHAnsi" w:cs="Times New Roman"/>
        </w:rPr>
        <w:t>’</w:t>
      </w:r>
      <w:r w:rsidR="0064043A">
        <w:rPr>
          <w:rFonts w:asciiTheme="minorHAnsi" w:eastAsia="Times New Roman" w:hAnsiTheme="minorHAnsi" w:cs="Times New Roman"/>
        </w:rPr>
        <w:t xml:space="preserve"> </w:t>
      </w:r>
      <w:r w:rsidR="00E00700" w:rsidRPr="00E00700">
        <w:rPr>
          <w:rFonts w:asciiTheme="minorHAnsi" w:eastAsia="Times New Roman" w:hAnsiTheme="minorHAnsi" w:cs="Times New Roman"/>
        </w:rPr>
        <w:t xml:space="preserve">– </w:t>
      </w:r>
      <w:r>
        <w:rPr>
          <w:rFonts w:asciiTheme="minorHAnsi" w:eastAsia="Times New Roman" w:hAnsiTheme="minorHAnsi" w:cs="Times New Roman"/>
        </w:rPr>
        <w:t xml:space="preserve">could enable </w:t>
      </w:r>
      <w:r w:rsidR="00E00700" w:rsidRPr="00E00700">
        <w:rPr>
          <w:rFonts w:asciiTheme="minorHAnsi" w:eastAsia="Times New Roman" w:hAnsiTheme="minorHAnsi" w:cs="Times New Roman"/>
        </w:rPr>
        <w:t>agreed approaches to when students ar</w:t>
      </w:r>
      <w:r w:rsidR="0064043A">
        <w:rPr>
          <w:rFonts w:asciiTheme="minorHAnsi" w:eastAsia="Times New Roman" w:hAnsiTheme="minorHAnsi" w:cs="Times New Roman"/>
        </w:rPr>
        <w:t>e contacted, how and how often</w:t>
      </w:r>
      <w:r w:rsidR="0048787A">
        <w:rPr>
          <w:rFonts w:asciiTheme="minorHAnsi" w:eastAsia="Times New Roman" w:hAnsiTheme="minorHAnsi" w:cs="Times New Roman"/>
        </w:rPr>
        <w:t>. In general, it was felt that centralised approaches will deliver more consistent data than is possible on a distributed basis.</w:t>
      </w:r>
    </w:p>
    <w:p w14:paraId="58F270E3" w14:textId="434E6D84" w:rsidR="00E00700" w:rsidRPr="00E00700" w:rsidRDefault="00E00700" w:rsidP="0048787A">
      <w:pPr>
        <w:ind w:left="720"/>
        <w:contextualSpacing/>
        <w:rPr>
          <w:rFonts w:asciiTheme="minorHAnsi" w:eastAsia="Times New Roman" w:hAnsiTheme="minorHAnsi" w:cs="Times New Roman"/>
        </w:rPr>
      </w:pPr>
    </w:p>
    <w:p w14:paraId="67E1A8AD" w14:textId="3EC10B96" w:rsidR="00E00700" w:rsidRPr="00E00700" w:rsidRDefault="00585642" w:rsidP="00E00700">
      <w:pPr>
        <w:numPr>
          <w:ilvl w:val="0"/>
          <w:numId w:val="9"/>
        </w:numPr>
        <w:contextualSpacing/>
        <w:rPr>
          <w:rFonts w:asciiTheme="minorHAnsi" w:eastAsia="Times New Roman" w:hAnsiTheme="minorHAnsi" w:cs="Times New Roman"/>
        </w:rPr>
      </w:pPr>
      <w:r>
        <w:rPr>
          <w:rFonts w:asciiTheme="minorHAnsi" w:eastAsia="Times New Roman" w:hAnsiTheme="minorHAnsi" w:cs="Times New Roman"/>
        </w:rPr>
        <w:t>Centralisation will inspire c</w:t>
      </w:r>
      <w:r w:rsidR="0064043A">
        <w:rPr>
          <w:rFonts w:asciiTheme="minorHAnsi" w:eastAsia="Times New Roman" w:hAnsiTheme="minorHAnsi" w:cs="Times New Roman"/>
        </w:rPr>
        <w:t xml:space="preserve">onfidence in own </w:t>
      </w:r>
      <w:r>
        <w:rPr>
          <w:rFonts w:asciiTheme="minorHAnsi" w:eastAsia="Times New Roman" w:hAnsiTheme="minorHAnsi" w:cs="Times New Roman"/>
        </w:rPr>
        <w:t xml:space="preserve">and others’ </w:t>
      </w:r>
      <w:r w:rsidR="0064043A">
        <w:rPr>
          <w:rFonts w:asciiTheme="minorHAnsi" w:eastAsia="Times New Roman" w:hAnsiTheme="minorHAnsi" w:cs="Times New Roman"/>
        </w:rPr>
        <w:t>results</w:t>
      </w:r>
      <w:r w:rsidR="0032028E">
        <w:rPr>
          <w:rFonts w:asciiTheme="minorHAnsi" w:eastAsia="Times New Roman" w:hAnsiTheme="minorHAnsi" w:cs="Times New Roman"/>
        </w:rPr>
        <w:t>.</w:t>
      </w:r>
    </w:p>
    <w:p w14:paraId="50FF3097" w14:textId="77777777" w:rsidR="0048787A" w:rsidRDefault="0048787A" w:rsidP="0048787A">
      <w:pPr>
        <w:ind w:left="720"/>
        <w:contextualSpacing/>
        <w:rPr>
          <w:rFonts w:asciiTheme="minorHAnsi" w:eastAsia="Times New Roman" w:hAnsiTheme="minorHAnsi" w:cs="Times New Roman"/>
        </w:rPr>
      </w:pPr>
    </w:p>
    <w:p w14:paraId="5710EA7C" w14:textId="13C4B43B" w:rsidR="00E00700" w:rsidRPr="00E00700" w:rsidRDefault="00E00700" w:rsidP="00E00700">
      <w:pPr>
        <w:numPr>
          <w:ilvl w:val="0"/>
          <w:numId w:val="9"/>
        </w:numPr>
        <w:contextualSpacing/>
        <w:rPr>
          <w:rFonts w:asciiTheme="minorHAnsi" w:eastAsia="Times New Roman" w:hAnsiTheme="minorHAnsi" w:cs="Times New Roman"/>
        </w:rPr>
      </w:pPr>
      <w:bookmarkStart w:id="0" w:name="_GoBack"/>
      <w:bookmarkEnd w:id="0"/>
      <w:r w:rsidRPr="00E00700">
        <w:rPr>
          <w:rFonts w:asciiTheme="minorHAnsi" w:eastAsia="Times New Roman" w:hAnsiTheme="minorHAnsi" w:cs="Times New Roman"/>
        </w:rPr>
        <w:t>Ability for ‘add-ons’ from main survey provider is important as each provider has their own needs. For example, the O</w:t>
      </w:r>
      <w:r w:rsidR="00D91169">
        <w:rPr>
          <w:rFonts w:asciiTheme="minorHAnsi" w:eastAsia="Times New Roman" w:hAnsiTheme="minorHAnsi" w:cs="Times New Roman"/>
        </w:rPr>
        <w:t>U currently contact graduates in a later follow-up activity and would find it</w:t>
      </w:r>
      <w:r w:rsidRPr="00E00700">
        <w:rPr>
          <w:rFonts w:asciiTheme="minorHAnsi" w:eastAsia="Times New Roman" w:hAnsiTheme="minorHAnsi" w:cs="Times New Roman"/>
        </w:rPr>
        <w:t xml:space="preserve"> useful to use a new survey provider for this. OU look at how study/career objectives change as this tends to be more remarkable than in other providers. It was noted that any appended questions can’t compromise the ‘core’ survey in terms of </w:t>
      </w:r>
      <w:r w:rsidR="00D91169">
        <w:rPr>
          <w:rFonts w:asciiTheme="minorHAnsi" w:eastAsia="Times New Roman" w:hAnsiTheme="minorHAnsi" w:cs="Times New Roman"/>
        </w:rPr>
        <w:t xml:space="preserve">retaining </w:t>
      </w:r>
      <w:r w:rsidR="00D91169" w:rsidRPr="0032028E">
        <w:rPr>
          <w:rFonts w:asciiTheme="minorHAnsi" w:eastAsia="Times New Roman" w:hAnsiTheme="minorHAnsi" w:cs="Times New Roman"/>
          <w:i/>
        </w:rPr>
        <w:t>National Statistics</w:t>
      </w:r>
      <w:r w:rsidR="00D91169">
        <w:rPr>
          <w:rFonts w:asciiTheme="minorHAnsi" w:eastAsia="Times New Roman" w:hAnsiTheme="minorHAnsi" w:cs="Times New Roman"/>
        </w:rPr>
        <w:t xml:space="preserve"> designation</w:t>
      </w:r>
      <w:r w:rsidR="00D91169" w:rsidRPr="00E00700">
        <w:rPr>
          <w:rFonts w:asciiTheme="minorHAnsi" w:eastAsia="Times New Roman" w:hAnsiTheme="minorHAnsi" w:cs="Times New Roman"/>
        </w:rPr>
        <w:t xml:space="preserve"> </w:t>
      </w:r>
      <w:r w:rsidR="00D91169">
        <w:rPr>
          <w:rFonts w:asciiTheme="minorHAnsi" w:eastAsia="Times New Roman" w:hAnsiTheme="minorHAnsi" w:cs="Times New Roman"/>
        </w:rPr>
        <w:t xml:space="preserve">for </w:t>
      </w:r>
      <w:r w:rsidRPr="00E00700">
        <w:rPr>
          <w:rFonts w:asciiTheme="minorHAnsi" w:eastAsia="Times New Roman" w:hAnsiTheme="minorHAnsi" w:cs="Times New Roman"/>
        </w:rPr>
        <w:t>NewDL</w:t>
      </w:r>
      <w:r w:rsidR="00D91169">
        <w:rPr>
          <w:rFonts w:asciiTheme="minorHAnsi" w:eastAsia="Times New Roman" w:hAnsiTheme="minorHAnsi" w:cs="Times New Roman"/>
        </w:rPr>
        <w:t>HE</w:t>
      </w:r>
      <w:r w:rsidR="0032028E">
        <w:rPr>
          <w:rFonts w:asciiTheme="minorHAnsi" w:eastAsia="Times New Roman" w:hAnsiTheme="minorHAnsi" w:cs="Times New Roman"/>
        </w:rPr>
        <w:t>.</w:t>
      </w:r>
    </w:p>
    <w:p w14:paraId="24559511" w14:textId="77777777" w:rsidR="0048787A" w:rsidRDefault="0048787A" w:rsidP="0048787A">
      <w:pPr>
        <w:ind w:left="720"/>
        <w:contextualSpacing/>
        <w:rPr>
          <w:rFonts w:asciiTheme="minorHAnsi" w:eastAsia="Times New Roman" w:hAnsiTheme="minorHAnsi" w:cs="Times New Roman"/>
        </w:rPr>
      </w:pPr>
    </w:p>
    <w:p w14:paraId="4F307994" w14:textId="0FAAD2E9" w:rsidR="00A95C74" w:rsidRDefault="00E00700" w:rsidP="00A95C74">
      <w:pPr>
        <w:numPr>
          <w:ilvl w:val="0"/>
          <w:numId w:val="9"/>
        </w:numPr>
        <w:contextualSpacing/>
        <w:rPr>
          <w:rFonts w:asciiTheme="minorHAnsi" w:eastAsia="Times New Roman" w:hAnsiTheme="minorHAnsi" w:cs="Times New Roman"/>
        </w:rPr>
      </w:pPr>
      <w:r w:rsidRPr="00E00700">
        <w:rPr>
          <w:rFonts w:asciiTheme="minorHAnsi" w:eastAsia="Times New Roman" w:hAnsiTheme="minorHAnsi" w:cs="Times New Roman"/>
        </w:rPr>
        <w:t>The group discussed how TEF makes the need for</w:t>
      </w:r>
      <w:r w:rsidR="00585642">
        <w:rPr>
          <w:rFonts w:asciiTheme="minorHAnsi" w:eastAsia="Times New Roman" w:hAnsiTheme="minorHAnsi" w:cs="Times New Roman"/>
        </w:rPr>
        <w:t xml:space="preserve"> </w:t>
      </w:r>
      <w:r w:rsidR="00D91169">
        <w:rPr>
          <w:rFonts w:asciiTheme="minorHAnsi" w:eastAsia="Times New Roman" w:hAnsiTheme="minorHAnsi" w:cs="Times New Roman"/>
        </w:rPr>
        <w:t>confidence in data quality</w:t>
      </w:r>
      <w:r w:rsidR="00585642">
        <w:rPr>
          <w:rFonts w:asciiTheme="minorHAnsi" w:eastAsia="Times New Roman" w:hAnsiTheme="minorHAnsi" w:cs="Times New Roman"/>
        </w:rPr>
        <w:t xml:space="preserve"> stronger than ever</w:t>
      </w:r>
      <w:r w:rsidR="0032028E">
        <w:rPr>
          <w:rFonts w:asciiTheme="minorHAnsi" w:eastAsia="Times New Roman" w:hAnsiTheme="minorHAnsi" w:cs="Times New Roman"/>
        </w:rPr>
        <w:t>.</w:t>
      </w:r>
    </w:p>
    <w:p w14:paraId="1C983F5C" w14:textId="041C5167" w:rsidR="0064043A" w:rsidRDefault="0064043A" w:rsidP="0048787A">
      <w:pPr>
        <w:ind w:left="720"/>
        <w:contextualSpacing/>
        <w:rPr>
          <w:rFonts w:asciiTheme="minorHAnsi" w:eastAsia="Times New Roman" w:hAnsiTheme="minorHAnsi" w:cs="Times New Roman"/>
        </w:rPr>
      </w:pPr>
    </w:p>
    <w:p w14:paraId="760D9C90" w14:textId="6B52BFCC" w:rsidR="0064043A" w:rsidRPr="0048787A" w:rsidRDefault="00544946" w:rsidP="0064043A">
      <w:pPr>
        <w:numPr>
          <w:ilvl w:val="0"/>
          <w:numId w:val="9"/>
        </w:numPr>
        <w:contextualSpacing/>
        <w:rPr>
          <w:rFonts w:asciiTheme="minorHAnsi" w:eastAsia="Times New Roman" w:hAnsiTheme="minorHAnsi" w:cs="Times New Roman"/>
        </w:rPr>
      </w:pPr>
      <w:r w:rsidRPr="0064043A">
        <w:rPr>
          <w:lang w:val="en-US"/>
        </w:rPr>
        <w:t>Third</w:t>
      </w:r>
      <w:r w:rsidR="00C542E2">
        <w:rPr>
          <w:lang w:val="en-US"/>
        </w:rPr>
        <w:t>-</w:t>
      </w:r>
      <w:r w:rsidRPr="0064043A">
        <w:rPr>
          <w:lang w:val="en-US"/>
        </w:rPr>
        <w:t xml:space="preserve">party </w:t>
      </w:r>
      <w:r w:rsidR="0048787A">
        <w:rPr>
          <w:lang w:val="en-US"/>
        </w:rPr>
        <w:t>coding would remove</w:t>
      </w:r>
      <w:r w:rsidRPr="0064043A">
        <w:rPr>
          <w:lang w:val="en-US"/>
        </w:rPr>
        <w:t xml:space="preserve"> </w:t>
      </w:r>
      <w:r w:rsidR="00585642">
        <w:rPr>
          <w:lang w:val="en-US"/>
        </w:rPr>
        <w:t>perceptions of bias in</w:t>
      </w:r>
      <w:r w:rsidRPr="0064043A">
        <w:rPr>
          <w:lang w:val="en-US"/>
        </w:rPr>
        <w:t xml:space="preserve"> SOC coding </w:t>
      </w:r>
      <w:r w:rsidR="00585642">
        <w:rPr>
          <w:lang w:val="en-US"/>
        </w:rPr>
        <w:t>(</w:t>
      </w:r>
      <w:r w:rsidR="001946B4">
        <w:rPr>
          <w:lang w:val="en-US"/>
        </w:rPr>
        <w:t>e.g</w:t>
      </w:r>
      <w:r w:rsidRPr="0064043A">
        <w:rPr>
          <w:lang w:val="en-US"/>
        </w:rPr>
        <w:t xml:space="preserve">. </w:t>
      </w:r>
      <w:r w:rsidR="00585642">
        <w:rPr>
          <w:lang w:val="en-US"/>
        </w:rPr>
        <w:t xml:space="preserve">areas with some </w:t>
      </w:r>
      <w:r w:rsidR="001946B4">
        <w:rPr>
          <w:lang w:val="en-US"/>
        </w:rPr>
        <w:t>“</w:t>
      </w:r>
      <w:r w:rsidR="00585642">
        <w:rPr>
          <w:lang w:val="en-US"/>
        </w:rPr>
        <w:t>fuzzy</w:t>
      </w:r>
      <w:r w:rsidR="001946B4">
        <w:rPr>
          <w:lang w:val="en-US"/>
        </w:rPr>
        <w:t>”</w:t>
      </w:r>
      <w:r w:rsidR="00585642">
        <w:rPr>
          <w:lang w:val="en-US"/>
        </w:rPr>
        <w:t xml:space="preserve"> terminology where </w:t>
      </w:r>
      <w:r w:rsidR="001946B4">
        <w:rPr>
          <w:lang w:val="en-US"/>
        </w:rPr>
        <w:t>similar roles can end</w:t>
      </w:r>
      <w:r w:rsidR="00C542E2">
        <w:rPr>
          <w:lang w:val="en-US"/>
        </w:rPr>
        <w:t xml:space="preserve"> </w:t>
      </w:r>
      <w:r w:rsidR="001946B4">
        <w:rPr>
          <w:lang w:val="en-US"/>
        </w:rPr>
        <w:t>up coded as ‘higher’ or ‘lower’ SOC codes at different HE providers</w:t>
      </w:r>
      <w:r w:rsidR="00585642">
        <w:rPr>
          <w:lang w:val="en-US"/>
        </w:rPr>
        <w:t>)</w:t>
      </w:r>
      <w:r w:rsidR="00C542E2">
        <w:rPr>
          <w:lang w:val="en-US"/>
        </w:rPr>
        <w:t>,</w:t>
      </w:r>
      <w:r w:rsidR="0048787A">
        <w:rPr>
          <w:lang w:val="en-US"/>
        </w:rPr>
        <w:t xml:space="preserve"> but given the accumulated expertise in the sector, third-party coders must be held to a high standard.</w:t>
      </w:r>
    </w:p>
    <w:p w14:paraId="7980C58F" w14:textId="77226243" w:rsidR="0048787A" w:rsidRDefault="0048787A" w:rsidP="0048787A">
      <w:pPr>
        <w:contextualSpacing/>
        <w:rPr>
          <w:rFonts w:asciiTheme="minorHAnsi" w:eastAsia="Times New Roman" w:hAnsiTheme="minorHAnsi" w:cs="Times New Roman"/>
        </w:rPr>
      </w:pPr>
    </w:p>
    <w:p w14:paraId="114CB88F" w14:textId="3F36D8EA" w:rsidR="0048787A" w:rsidRDefault="00544946" w:rsidP="0048787A">
      <w:pPr>
        <w:numPr>
          <w:ilvl w:val="0"/>
          <w:numId w:val="9"/>
        </w:numPr>
        <w:contextualSpacing/>
        <w:rPr>
          <w:rFonts w:asciiTheme="minorHAnsi" w:eastAsia="Times New Roman" w:hAnsiTheme="minorHAnsi" w:cs="Times New Roman"/>
        </w:rPr>
      </w:pPr>
      <w:r w:rsidRPr="0064043A">
        <w:rPr>
          <w:rFonts w:eastAsia="Times New Roman"/>
        </w:rPr>
        <w:t xml:space="preserve">Governance of outsourcing </w:t>
      </w:r>
      <w:r w:rsidR="00AA3419">
        <w:rPr>
          <w:rFonts w:eastAsia="Times New Roman"/>
        </w:rPr>
        <w:t>is</w:t>
      </w:r>
      <w:r w:rsidR="0032028E">
        <w:rPr>
          <w:rFonts w:eastAsia="Times New Roman"/>
        </w:rPr>
        <w:t xml:space="preserve"> felt to be </w:t>
      </w:r>
      <w:r w:rsidR="00AA3419">
        <w:rPr>
          <w:rFonts w:eastAsia="Times New Roman"/>
        </w:rPr>
        <w:t>strong</w:t>
      </w:r>
      <w:r w:rsidR="0032028E">
        <w:rPr>
          <w:rFonts w:eastAsia="Times New Roman"/>
        </w:rPr>
        <w:t>.</w:t>
      </w:r>
    </w:p>
    <w:p w14:paraId="7CCAAB8D" w14:textId="0604B089" w:rsidR="0048787A" w:rsidRPr="0048787A" w:rsidRDefault="0048787A" w:rsidP="0048787A">
      <w:pPr>
        <w:contextualSpacing/>
        <w:rPr>
          <w:rFonts w:asciiTheme="minorHAnsi" w:eastAsia="Times New Roman" w:hAnsiTheme="minorHAnsi" w:cs="Times New Roman"/>
        </w:rPr>
      </w:pPr>
    </w:p>
    <w:p w14:paraId="12F04E0B" w14:textId="0F8FF0E9" w:rsidR="0064043A" w:rsidRPr="0048787A" w:rsidRDefault="00F001B7" w:rsidP="0064043A">
      <w:pPr>
        <w:numPr>
          <w:ilvl w:val="0"/>
          <w:numId w:val="9"/>
        </w:numPr>
        <w:contextualSpacing/>
        <w:rPr>
          <w:rFonts w:asciiTheme="minorHAnsi" w:eastAsia="Times New Roman" w:hAnsiTheme="minorHAnsi" w:cs="Times New Roman"/>
        </w:rPr>
      </w:pPr>
      <w:r>
        <w:rPr>
          <w:rFonts w:eastAsia="Times New Roman"/>
        </w:rPr>
        <w:t>C</w:t>
      </w:r>
      <w:r w:rsidR="0048787A">
        <w:rPr>
          <w:rFonts w:eastAsia="Times New Roman"/>
        </w:rPr>
        <w:t>entralisation c</w:t>
      </w:r>
      <w:r>
        <w:rPr>
          <w:rFonts w:eastAsia="Times New Roman"/>
        </w:rPr>
        <w:t>ould offer better value</w:t>
      </w:r>
      <w:r w:rsidR="00AA3419">
        <w:rPr>
          <w:rFonts w:eastAsia="Times New Roman"/>
        </w:rPr>
        <w:t xml:space="preserve"> per attempted/</w:t>
      </w:r>
      <w:r w:rsidR="0048787A">
        <w:rPr>
          <w:rFonts w:eastAsia="Times New Roman"/>
        </w:rPr>
        <w:t>acquired response for most providers</w:t>
      </w:r>
      <w:r w:rsidR="0032028E">
        <w:rPr>
          <w:rFonts w:eastAsia="Times New Roman"/>
        </w:rPr>
        <w:t>.</w:t>
      </w:r>
    </w:p>
    <w:p w14:paraId="55C312D5" w14:textId="2B135AB2" w:rsidR="0048787A" w:rsidRDefault="0048787A" w:rsidP="0048787A">
      <w:pPr>
        <w:contextualSpacing/>
        <w:rPr>
          <w:rFonts w:asciiTheme="minorHAnsi" w:eastAsia="Times New Roman" w:hAnsiTheme="minorHAnsi" w:cs="Times New Roman"/>
        </w:rPr>
      </w:pPr>
    </w:p>
    <w:p w14:paraId="3F0077A1" w14:textId="3E98CAC9" w:rsidR="00E00700" w:rsidRPr="0048787A" w:rsidRDefault="001946B4" w:rsidP="0064043A">
      <w:pPr>
        <w:numPr>
          <w:ilvl w:val="0"/>
          <w:numId w:val="9"/>
        </w:numPr>
        <w:contextualSpacing/>
        <w:rPr>
          <w:rFonts w:asciiTheme="minorHAnsi" w:eastAsia="Times New Roman" w:hAnsiTheme="minorHAnsi" w:cs="Times New Roman"/>
        </w:rPr>
      </w:pPr>
      <w:r>
        <w:rPr>
          <w:rFonts w:eastAsia="Times New Roman"/>
        </w:rPr>
        <w:t>Perceived as a m</w:t>
      </w:r>
      <w:r w:rsidR="00544946" w:rsidRPr="0064043A">
        <w:rPr>
          <w:rFonts w:eastAsia="Times New Roman"/>
        </w:rPr>
        <w:t>ore robust</w:t>
      </w:r>
      <w:r w:rsidR="00A95C74" w:rsidRPr="0064043A">
        <w:rPr>
          <w:rFonts w:eastAsia="Times New Roman"/>
        </w:rPr>
        <w:t xml:space="preserve"> methodology</w:t>
      </w:r>
      <w:r w:rsidR="00544946" w:rsidRPr="0064043A">
        <w:rPr>
          <w:rFonts w:eastAsia="Times New Roman"/>
        </w:rPr>
        <w:t xml:space="preserve"> for </w:t>
      </w:r>
      <w:r w:rsidR="0064043A" w:rsidRPr="001946B4">
        <w:rPr>
          <w:rFonts w:eastAsia="Times New Roman"/>
          <w:i/>
        </w:rPr>
        <w:t>National S</w:t>
      </w:r>
      <w:r w:rsidR="00A95C74" w:rsidRPr="001946B4">
        <w:rPr>
          <w:rFonts w:eastAsia="Times New Roman"/>
          <w:i/>
        </w:rPr>
        <w:t>tatistics</w:t>
      </w:r>
      <w:r w:rsidR="00A95C74" w:rsidRPr="0064043A">
        <w:rPr>
          <w:rFonts w:eastAsia="Times New Roman"/>
        </w:rPr>
        <w:t xml:space="preserve"> </w:t>
      </w:r>
      <w:r w:rsidR="0048787A">
        <w:rPr>
          <w:rFonts w:eastAsia="Times New Roman"/>
        </w:rPr>
        <w:t>designation</w:t>
      </w:r>
    </w:p>
    <w:p w14:paraId="06A859AA" w14:textId="1EF92E54" w:rsidR="0048787A" w:rsidRPr="00AA3419" w:rsidRDefault="0048787A" w:rsidP="0048787A">
      <w:pPr>
        <w:contextualSpacing/>
        <w:rPr>
          <w:rFonts w:asciiTheme="minorHAnsi" w:eastAsia="Times New Roman" w:hAnsiTheme="minorHAnsi" w:cs="Times New Roman"/>
        </w:rPr>
      </w:pPr>
    </w:p>
    <w:p w14:paraId="2A38598E" w14:textId="0F17CA25" w:rsidR="001946B4" w:rsidRPr="0048787A" w:rsidRDefault="0048787A" w:rsidP="009F043A">
      <w:pPr>
        <w:numPr>
          <w:ilvl w:val="0"/>
          <w:numId w:val="10"/>
        </w:numPr>
        <w:tabs>
          <w:tab w:val="right" w:pos="9456"/>
        </w:tabs>
        <w:contextualSpacing/>
      </w:pPr>
      <w:r>
        <w:rPr>
          <w:rFonts w:eastAsia="Times New Roman"/>
        </w:rPr>
        <w:t>Centralisation makes it e</w:t>
      </w:r>
      <w:r w:rsidR="00AA3419" w:rsidRPr="001946B4">
        <w:rPr>
          <w:rFonts w:eastAsia="Times New Roman"/>
        </w:rPr>
        <w:t>asier to be responsive to changes</w:t>
      </w:r>
      <w:r>
        <w:rPr>
          <w:rFonts w:eastAsia="Times New Roman"/>
        </w:rPr>
        <w:t>,</w:t>
      </w:r>
      <w:r w:rsidR="00AA3419" w:rsidRPr="001946B4">
        <w:rPr>
          <w:rFonts w:eastAsia="Times New Roman"/>
        </w:rPr>
        <w:t xml:space="preserve"> as a single provider can change more rapidly and cost-effectively than a sector-wide effort</w:t>
      </w:r>
      <w:r>
        <w:rPr>
          <w:rFonts w:eastAsia="Times New Roman"/>
        </w:rPr>
        <w:t xml:space="preserve"> can be co-ordinated</w:t>
      </w:r>
    </w:p>
    <w:p w14:paraId="1EB2B9CC" w14:textId="77777777" w:rsidR="0048787A" w:rsidRPr="001946B4" w:rsidRDefault="0048787A" w:rsidP="0048787A">
      <w:pPr>
        <w:tabs>
          <w:tab w:val="right" w:pos="9456"/>
        </w:tabs>
        <w:ind w:left="720"/>
        <w:contextualSpacing/>
      </w:pPr>
    </w:p>
    <w:p w14:paraId="4342E85A" w14:textId="6094E593" w:rsidR="0048787A" w:rsidRDefault="001946B4" w:rsidP="0048787A">
      <w:pPr>
        <w:numPr>
          <w:ilvl w:val="0"/>
          <w:numId w:val="10"/>
        </w:numPr>
        <w:tabs>
          <w:tab w:val="right" w:pos="9456"/>
        </w:tabs>
        <w:contextualSpacing/>
      </w:pPr>
      <w:r>
        <w:t>H</w:t>
      </w:r>
      <w:r w:rsidR="00E00700">
        <w:t>E</w:t>
      </w:r>
      <w:r w:rsidR="00C542E2">
        <w:t xml:space="preserve"> providers</w:t>
      </w:r>
      <w:r w:rsidR="00E00700">
        <w:t xml:space="preserve">s </w:t>
      </w:r>
      <w:r w:rsidR="00A95C74">
        <w:t>need access to their own data</w:t>
      </w:r>
      <w:r w:rsidR="00E00700">
        <w:t xml:space="preserve"> to learn from their</w:t>
      </w:r>
      <w:r>
        <w:t xml:space="preserve"> results</w:t>
      </w:r>
      <w:r w:rsidR="0032028E">
        <w:t>.</w:t>
      </w:r>
    </w:p>
    <w:p w14:paraId="22B95DEA" w14:textId="67D21EB7" w:rsidR="0048787A" w:rsidRDefault="0048787A" w:rsidP="0048787A">
      <w:pPr>
        <w:tabs>
          <w:tab w:val="right" w:pos="9456"/>
        </w:tabs>
        <w:contextualSpacing/>
      </w:pPr>
    </w:p>
    <w:p w14:paraId="633D9778" w14:textId="4B382AF8" w:rsidR="001946B4" w:rsidRDefault="0048787A" w:rsidP="001946B4">
      <w:pPr>
        <w:numPr>
          <w:ilvl w:val="0"/>
          <w:numId w:val="10"/>
        </w:numPr>
        <w:tabs>
          <w:tab w:val="right" w:pos="9456"/>
        </w:tabs>
        <w:contextualSpacing/>
      </w:pPr>
      <w:r>
        <w:t>Current DLHE data collection fits within other HE</w:t>
      </w:r>
      <w:r w:rsidR="00C542E2">
        <w:t xml:space="preserve"> provider</w:t>
      </w:r>
      <w:r>
        <w:t xml:space="preserve"> process</w:t>
      </w:r>
      <w:r w:rsidR="00E00700">
        <w:t xml:space="preserve"> and it works</w:t>
      </w:r>
      <w:r>
        <w:t xml:space="preserve"> well for many</w:t>
      </w:r>
      <w:r w:rsidR="0032028E">
        <w:t>.</w:t>
      </w:r>
    </w:p>
    <w:p w14:paraId="2B54D934" w14:textId="114EC2C9" w:rsidR="0048787A" w:rsidRDefault="0048787A" w:rsidP="0048787A">
      <w:pPr>
        <w:tabs>
          <w:tab w:val="right" w:pos="9456"/>
        </w:tabs>
        <w:contextualSpacing/>
      </w:pPr>
    </w:p>
    <w:p w14:paraId="6CCAE606" w14:textId="5A87C515" w:rsidR="001946B4" w:rsidRPr="00C542E2" w:rsidRDefault="00E00700" w:rsidP="004C4FEF">
      <w:pPr>
        <w:pStyle w:val="ListParagraph"/>
        <w:numPr>
          <w:ilvl w:val="0"/>
          <w:numId w:val="10"/>
        </w:numPr>
        <w:tabs>
          <w:tab w:val="right" w:pos="9456"/>
        </w:tabs>
        <w:spacing w:after="0" w:line="240" w:lineRule="auto"/>
        <w:contextualSpacing w:val="0"/>
        <w:rPr>
          <w:rFonts w:ascii="Calibri" w:hAnsi="Calibri"/>
          <w:lang w:val="en-US"/>
        </w:rPr>
      </w:pPr>
      <w:r>
        <w:t xml:space="preserve">What does centralisation do to </w:t>
      </w:r>
      <w:r w:rsidR="001946B4">
        <w:t>“</w:t>
      </w:r>
      <w:r>
        <w:t>after-care</w:t>
      </w:r>
      <w:r w:rsidR="001946B4">
        <w:t>”</w:t>
      </w:r>
      <w:r>
        <w:t xml:space="preserve"> and HE</w:t>
      </w:r>
      <w:r w:rsidR="00C542E2">
        <w:t xml:space="preserve"> providers</w:t>
      </w:r>
      <w:r>
        <w:t xml:space="preserve"> maintaining relationships with graduates. Would HE</w:t>
      </w:r>
      <w:r w:rsidR="00C542E2">
        <w:t xml:space="preserve"> providers</w:t>
      </w:r>
      <w:r>
        <w:t xml:space="preserve"> feel removed from the process and not want to engage? The group questioned whether this was really a genuine reason to not want centralisation. Do they just want to get the contact details of their graduates? HE</w:t>
      </w:r>
      <w:r w:rsidR="00C542E2">
        <w:t xml:space="preserve"> providers</w:t>
      </w:r>
      <w:r>
        <w:t xml:space="preserve"> can get in contact with their leavers at other time points. Needing to do DLHE is a prompt </w:t>
      </w:r>
      <w:r w:rsidR="0048787A">
        <w:t xml:space="preserve">to keep up to date with </w:t>
      </w:r>
      <w:r w:rsidR="00C542E2">
        <w:t>l</w:t>
      </w:r>
      <w:r w:rsidR="0048787A">
        <w:t>eavers</w:t>
      </w:r>
      <w:r w:rsidR="0032028E">
        <w:t>.</w:t>
      </w:r>
    </w:p>
    <w:p w14:paraId="4CB1C488" w14:textId="5B20642E" w:rsidR="0048787A" w:rsidRPr="001946B4" w:rsidRDefault="0048787A" w:rsidP="0048787A">
      <w:pPr>
        <w:tabs>
          <w:tab w:val="right" w:pos="9456"/>
        </w:tabs>
        <w:spacing w:after="0" w:line="240" w:lineRule="auto"/>
        <w:rPr>
          <w:rFonts w:ascii="Calibri" w:hAnsi="Calibri"/>
          <w:lang w:val="en-US"/>
        </w:rPr>
      </w:pPr>
    </w:p>
    <w:p w14:paraId="5008E0AD" w14:textId="25A09F88" w:rsidR="0048787A" w:rsidRDefault="0048787A" w:rsidP="0048787A">
      <w:pPr>
        <w:numPr>
          <w:ilvl w:val="0"/>
          <w:numId w:val="10"/>
        </w:numPr>
        <w:tabs>
          <w:tab w:val="right" w:pos="9456"/>
        </w:tabs>
        <w:spacing w:after="0" w:line="240" w:lineRule="auto"/>
        <w:rPr>
          <w:rFonts w:ascii="Calibri" w:hAnsi="Calibri"/>
          <w:lang w:val="en-US"/>
        </w:rPr>
      </w:pPr>
      <w:r w:rsidRPr="001946B4">
        <w:rPr>
          <w:rFonts w:asciiTheme="minorHAnsi" w:eastAsia="Times New Roman" w:hAnsiTheme="minorHAnsi" w:cs="Times New Roman"/>
        </w:rPr>
        <w:t>Would lea</w:t>
      </w:r>
      <w:r>
        <w:rPr>
          <w:rFonts w:asciiTheme="minorHAnsi" w:eastAsia="Times New Roman" w:hAnsiTheme="minorHAnsi" w:cs="Times New Roman"/>
        </w:rPr>
        <w:t>vers answer more honestly to an independent caller (under a centralised system) than to a direct representative of the HE</w:t>
      </w:r>
      <w:r w:rsidR="00C542E2">
        <w:rPr>
          <w:rFonts w:asciiTheme="minorHAnsi" w:eastAsia="Times New Roman" w:hAnsiTheme="minorHAnsi" w:cs="Times New Roman"/>
        </w:rPr>
        <w:t xml:space="preserve"> provider</w:t>
      </w:r>
      <w:r w:rsidRPr="001946B4">
        <w:rPr>
          <w:rFonts w:asciiTheme="minorHAnsi" w:eastAsia="Times New Roman" w:hAnsiTheme="minorHAnsi" w:cs="Times New Roman"/>
        </w:rPr>
        <w:t>? There were arguments for and against.</w:t>
      </w:r>
    </w:p>
    <w:p w14:paraId="4FA2B073" w14:textId="543D7604" w:rsidR="0048787A" w:rsidRPr="0048787A" w:rsidRDefault="0048787A" w:rsidP="0048787A">
      <w:pPr>
        <w:tabs>
          <w:tab w:val="right" w:pos="9456"/>
        </w:tabs>
        <w:spacing w:after="0" w:line="240" w:lineRule="auto"/>
        <w:rPr>
          <w:rFonts w:ascii="Calibri" w:hAnsi="Calibri"/>
          <w:lang w:val="en-US"/>
        </w:rPr>
      </w:pPr>
    </w:p>
    <w:p w14:paraId="497DF01E" w14:textId="1E14E346" w:rsidR="00544946" w:rsidRPr="0048787A" w:rsidRDefault="0048787A" w:rsidP="00231D95">
      <w:pPr>
        <w:numPr>
          <w:ilvl w:val="0"/>
          <w:numId w:val="10"/>
        </w:numPr>
        <w:tabs>
          <w:tab w:val="right" w:pos="9456"/>
        </w:tabs>
        <w:spacing w:after="0" w:line="240" w:lineRule="auto"/>
        <w:rPr>
          <w:rFonts w:ascii="Calibri" w:hAnsi="Calibri"/>
          <w:lang w:val="en-US"/>
        </w:rPr>
      </w:pPr>
      <w:r>
        <w:rPr>
          <w:lang w:val="en-US"/>
        </w:rPr>
        <w:t>Some were concerned that</w:t>
      </w:r>
      <w:r w:rsidR="001946B4">
        <w:rPr>
          <w:lang w:val="en-US"/>
        </w:rPr>
        <w:t xml:space="preserve"> </w:t>
      </w:r>
      <w:r w:rsidR="001946B4" w:rsidRPr="001946B4">
        <w:rPr>
          <w:lang w:val="en-US"/>
        </w:rPr>
        <w:t xml:space="preserve">third party </w:t>
      </w:r>
      <w:r w:rsidR="00F356DA">
        <w:rPr>
          <w:lang w:val="en-US"/>
        </w:rPr>
        <w:t xml:space="preserve">(typically parental) </w:t>
      </w:r>
      <w:r w:rsidR="001946B4">
        <w:rPr>
          <w:lang w:val="en-US"/>
        </w:rPr>
        <w:t>r</w:t>
      </w:r>
      <w:r w:rsidR="00544946" w:rsidRPr="001946B4">
        <w:rPr>
          <w:lang w:val="en-US"/>
        </w:rPr>
        <w:t>esponse rate</w:t>
      </w:r>
      <w:r w:rsidR="001946B4">
        <w:rPr>
          <w:lang w:val="en-US"/>
        </w:rPr>
        <w:t>s</w:t>
      </w:r>
      <w:r w:rsidR="00544946" w:rsidRPr="001946B4">
        <w:rPr>
          <w:lang w:val="en-US"/>
        </w:rPr>
        <w:t xml:space="preserve"> </w:t>
      </w:r>
      <w:r>
        <w:rPr>
          <w:lang w:val="en-US"/>
        </w:rPr>
        <w:t xml:space="preserve">would </w:t>
      </w:r>
      <w:r w:rsidR="001946B4">
        <w:rPr>
          <w:lang w:val="en-US"/>
        </w:rPr>
        <w:t>fall</w:t>
      </w:r>
      <w:r w:rsidR="00544946" w:rsidRPr="001946B4">
        <w:rPr>
          <w:lang w:val="en-US"/>
        </w:rPr>
        <w:t xml:space="preserve"> if </w:t>
      </w:r>
      <w:r w:rsidR="001946B4">
        <w:rPr>
          <w:lang w:val="en-US"/>
        </w:rPr>
        <w:t>collection</w:t>
      </w:r>
      <w:r w:rsidR="00544946" w:rsidRPr="001946B4">
        <w:rPr>
          <w:lang w:val="en-US"/>
        </w:rPr>
        <w:t xml:space="preserve"> </w:t>
      </w:r>
      <w:r w:rsidR="001946B4">
        <w:rPr>
          <w:lang w:val="en-US"/>
        </w:rPr>
        <w:t>is centralis</w:t>
      </w:r>
      <w:r w:rsidR="00544946" w:rsidRPr="001946B4">
        <w:rPr>
          <w:lang w:val="en-US"/>
        </w:rPr>
        <w:t>ed (gi</w:t>
      </w:r>
      <w:r>
        <w:rPr>
          <w:lang w:val="en-US"/>
        </w:rPr>
        <w:t xml:space="preserve">ving information to </w:t>
      </w:r>
      <w:r w:rsidR="000C10F1">
        <w:rPr>
          <w:lang w:val="en-US"/>
        </w:rPr>
        <w:t xml:space="preserve">someone perceived as </w:t>
      </w:r>
      <w:r>
        <w:rPr>
          <w:lang w:val="en-US"/>
        </w:rPr>
        <w:t>a stranger</w:t>
      </w:r>
      <w:r w:rsidR="00F356DA">
        <w:rPr>
          <w:lang w:val="en-US"/>
        </w:rPr>
        <w:t>, rather than the HE</w:t>
      </w:r>
      <w:r w:rsidR="00C542E2">
        <w:rPr>
          <w:lang w:val="en-US"/>
        </w:rPr>
        <w:t xml:space="preserve"> provider</w:t>
      </w:r>
      <w:r w:rsidR="000C10F1">
        <w:rPr>
          <w:lang w:val="en-US"/>
        </w:rPr>
        <w:t>, might make respondents wary</w:t>
      </w:r>
      <w:r>
        <w:rPr>
          <w:lang w:val="en-US"/>
        </w:rPr>
        <w:t>)</w:t>
      </w:r>
      <w:r w:rsidR="000C10F1">
        <w:rPr>
          <w:lang w:val="en-US"/>
        </w:rPr>
        <w:t>.</w:t>
      </w:r>
    </w:p>
    <w:p w14:paraId="763DC618" w14:textId="50BD85A1" w:rsidR="0048787A" w:rsidRPr="001946B4" w:rsidRDefault="0048787A" w:rsidP="0048787A">
      <w:pPr>
        <w:pStyle w:val="ListParagraph"/>
        <w:rPr>
          <w:rFonts w:ascii="Calibri" w:hAnsi="Calibri"/>
          <w:lang w:val="en-US"/>
        </w:rPr>
      </w:pPr>
    </w:p>
    <w:p w14:paraId="4B98150D" w14:textId="31F6CB34" w:rsidR="00544946" w:rsidRDefault="0048787A" w:rsidP="00544946">
      <w:pPr>
        <w:pStyle w:val="ListParagraph"/>
        <w:numPr>
          <w:ilvl w:val="0"/>
          <w:numId w:val="10"/>
        </w:numPr>
        <w:spacing w:after="0" w:line="240" w:lineRule="auto"/>
        <w:contextualSpacing w:val="0"/>
        <w:rPr>
          <w:lang w:val="en-US"/>
        </w:rPr>
      </w:pPr>
      <w:r>
        <w:rPr>
          <w:lang w:val="en-US"/>
        </w:rPr>
        <w:lastRenderedPageBreak/>
        <w:t>Would overseas student data be</w:t>
      </w:r>
      <w:r w:rsidR="00D97D06">
        <w:rPr>
          <w:lang w:val="en-US"/>
        </w:rPr>
        <w:t xml:space="preserve"> a</w:t>
      </w:r>
      <w:r w:rsidR="00544946">
        <w:rPr>
          <w:lang w:val="en-US"/>
        </w:rPr>
        <w:t>ffected (accuracy and cont</w:t>
      </w:r>
      <w:r>
        <w:rPr>
          <w:lang w:val="en-US"/>
        </w:rPr>
        <w:t>act with them) under a centralized process</w:t>
      </w:r>
      <w:r w:rsidR="000C10F1">
        <w:rPr>
          <w:lang w:val="en-US"/>
        </w:rPr>
        <w:t xml:space="preserve"> – some concerns, as this is currently a difficult group to survey (generally).</w:t>
      </w:r>
    </w:p>
    <w:p w14:paraId="752B0810" w14:textId="009B8207" w:rsidR="0048787A" w:rsidRPr="0048787A" w:rsidRDefault="0048787A" w:rsidP="0048787A">
      <w:pPr>
        <w:spacing w:after="0" w:line="240" w:lineRule="auto"/>
        <w:rPr>
          <w:lang w:val="en-US"/>
        </w:rPr>
      </w:pPr>
    </w:p>
    <w:p w14:paraId="1F6C2BEA" w14:textId="52CA39CE" w:rsidR="001946B4" w:rsidRDefault="00F001B7" w:rsidP="001946B4">
      <w:pPr>
        <w:pStyle w:val="ListParagraph"/>
        <w:numPr>
          <w:ilvl w:val="0"/>
          <w:numId w:val="10"/>
        </w:numPr>
        <w:spacing w:after="0" w:line="240" w:lineRule="auto"/>
        <w:contextualSpacing w:val="0"/>
        <w:rPr>
          <w:lang w:val="en-US"/>
        </w:rPr>
      </w:pPr>
      <w:r>
        <w:rPr>
          <w:lang w:val="en-US"/>
        </w:rPr>
        <w:t>An audit system</w:t>
      </w:r>
      <w:r w:rsidRPr="00F001B7">
        <w:rPr>
          <w:lang w:val="en-US"/>
        </w:rPr>
        <w:t xml:space="preserve"> coul</w:t>
      </w:r>
      <w:r>
        <w:rPr>
          <w:lang w:val="en-US"/>
        </w:rPr>
        <w:t>d offer more flexibility</w:t>
      </w:r>
      <w:r w:rsidR="0048787A">
        <w:rPr>
          <w:lang w:val="en-US"/>
        </w:rPr>
        <w:t xml:space="preserve"> than centralization, </w:t>
      </w:r>
      <w:r>
        <w:rPr>
          <w:lang w:val="en-US"/>
        </w:rPr>
        <w:t xml:space="preserve">but </w:t>
      </w:r>
      <w:r w:rsidR="0048787A">
        <w:rPr>
          <w:lang w:val="en-US"/>
        </w:rPr>
        <w:t xml:space="preserve">conversely </w:t>
      </w:r>
      <w:r>
        <w:rPr>
          <w:lang w:val="en-US"/>
        </w:rPr>
        <w:t>would c</w:t>
      </w:r>
      <w:r w:rsidR="0048787A">
        <w:rPr>
          <w:lang w:val="en-US"/>
        </w:rPr>
        <w:t>reate costs without extra value</w:t>
      </w:r>
      <w:r w:rsidR="000C10F1">
        <w:rPr>
          <w:lang w:val="en-US"/>
        </w:rPr>
        <w:t>.</w:t>
      </w:r>
    </w:p>
    <w:p w14:paraId="48C72F21" w14:textId="60E78809" w:rsidR="0048787A" w:rsidRPr="0048787A" w:rsidRDefault="0048787A" w:rsidP="0048787A">
      <w:pPr>
        <w:pStyle w:val="ListParagraph"/>
        <w:rPr>
          <w:lang w:val="en-US"/>
        </w:rPr>
      </w:pPr>
    </w:p>
    <w:p w14:paraId="622E437D" w14:textId="71C4CF63" w:rsidR="00E00700" w:rsidRDefault="00E00700" w:rsidP="00E00700">
      <w:pPr>
        <w:pStyle w:val="ListParagraph"/>
        <w:numPr>
          <w:ilvl w:val="0"/>
          <w:numId w:val="13"/>
        </w:numPr>
        <w:rPr>
          <w:rFonts w:asciiTheme="minorHAnsi" w:eastAsia="Times New Roman" w:hAnsiTheme="minorHAnsi" w:cs="Times New Roman"/>
        </w:rPr>
      </w:pPr>
      <w:r w:rsidRPr="00E00700">
        <w:rPr>
          <w:rFonts w:asciiTheme="minorHAnsi" w:eastAsia="Times New Roman" w:hAnsiTheme="minorHAnsi" w:cs="Times New Roman"/>
        </w:rPr>
        <w:t>Could there be fusion options?</w:t>
      </w:r>
      <w:r w:rsidR="001946B4">
        <w:rPr>
          <w:rFonts w:asciiTheme="minorHAnsi" w:eastAsia="Times New Roman" w:hAnsiTheme="minorHAnsi" w:cs="Times New Roman"/>
        </w:rPr>
        <w:t xml:space="preserve"> New</w:t>
      </w:r>
      <w:r w:rsidRPr="00E00700">
        <w:rPr>
          <w:rFonts w:asciiTheme="minorHAnsi" w:eastAsia="Times New Roman" w:hAnsiTheme="minorHAnsi" w:cs="Times New Roman"/>
        </w:rPr>
        <w:t>DLHE could work well under a similar framework to PRES/PTES, so could be run by HESA and administ</w:t>
      </w:r>
      <w:r w:rsidR="00AA3419">
        <w:rPr>
          <w:rFonts w:asciiTheme="minorHAnsi" w:eastAsia="Times New Roman" w:hAnsiTheme="minorHAnsi" w:cs="Times New Roman"/>
        </w:rPr>
        <w:t>ered through a survey provider.</w:t>
      </w:r>
    </w:p>
    <w:p w14:paraId="26550ECA" w14:textId="77777777" w:rsidR="000C10F1" w:rsidRDefault="000C10F1" w:rsidP="000C10F1">
      <w:pPr>
        <w:pStyle w:val="ListParagraph"/>
        <w:rPr>
          <w:rFonts w:asciiTheme="minorHAnsi" w:eastAsia="Times New Roman" w:hAnsiTheme="minorHAnsi" w:cs="Times New Roman"/>
        </w:rPr>
      </w:pPr>
    </w:p>
    <w:p w14:paraId="13AF5033" w14:textId="7917669F" w:rsidR="00D97D06" w:rsidRDefault="00D97D06" w:rsidP="00E00700">
      <w:pPr>
        <w:pStyle w:val="ListParagraph"/>
        <w:numPr>
          <w:ilvl w:val="0"/>
          <w:numId w:val="13"/>
        </w:numPr>
        <w:rPr>
          <w:rFonts w:asciiTheme="minorHAnsi" w:eastAsia="Times New Roman" w:hAnsiTheme="minorHAnsi" w:cs="Times New Roman"/>
        </w:rPr>
      </w:pPr>
      <w:r>
        <w:rPr>
          <w:rFonts w:asciiTheme="minorHAnsi" w:eastAsia="Times New Roman" w:hAnsiTheme="minorHAnsi" w:cs="Times New Roman"/>
        </w:rPr>
        <w:t>What influence would providers have over the process?</w:t>
      </w:r>
    </w:p>
    <w:p w14:paraId="11C8DD2C" w14:textId="56F352B0" w:rsidR="000C10F1" w:rsidRPr="000C10F1" w:rsidRDefault="000C10F1" w:rsidP="000C10F1">
      <w:pPr>
        <w:pStyle w:val="ListParagraph"/>
        <w:rPr>
          <w:rFonts w:asciiTheme="minorHAnsi" w:eastAsia="Times New Roman" w:hAnsiTheme="minorHAnsi" w:cs="Times New Roman"/>
        </w:rPr>
      </w:pPr>
    </w:p>
    <w:p w14:paraId="067B3565" w14:textId="31D3A1D6" w:rsidR="00544946" w:rsidRDefault="00F001B7" w:rsidP="00544946">
      <w:pPr>
        <w:pStyle w:val="ListParagraph"/>
        <w:numPr>
          <w:ilvl w:val="0"/>
          <w:numId w:val="13"/>
        </w:numPr>
        <w:spacing w:after="0" w:line="240" w:lineRule="auto"/>
        <w:contextualSpacing w:val="0"/>
        <w:rPr>
          <w:lang w:val="en-US"/>
        </w:rPr>
      </w:pPr>
      <w:r>
        <w:rPr>
          <w:lang w:val="en-US"/>
        </w:rPr>
        <w:t>Full centrali</w:t>
      </w:r>
      <w:r w:rsidR="00C542E2">
        <w:rPr>
          <w:lang w:val="en-US"/>
        </w:rPr>
        <w:t>s</w:t>
      </w:r>
      <w:r>
        <w:rPr>
          <w:lang w:val="en-US"/>
        </w:rPr>
        <w:t>ation or p</w:t>
      </w:r>
      <w:r w:rsidR="00544946">
        <w:rPr>
          <w:lang w:val="en-US"/>
        </w:rPr>
        <w:t>artial centrali</w:t>
      </w:r>
      <w:r w:rsidR="00C542E2">
        <w:rPr>
          <w:lang w:val="en-US"/>
        </w:rPr>
        <w:t>s</w:t>
      </w:r>
      <w:r w:rsidR="00544946">
        <w:rPr>
          <w:lang w:val="en-US"/>
        </w:rPr>
        <w:t>ation?</w:t>
      </w:r>
      <w:r w:rsidR="000C10F1">
        <w:rPr>
          <w:lang w:val="en-US"/>
        </w:rPr>
        <w:t xml:space="preserve"> The detailed characteristics will matter and it is important to recognize HE</w:t>
      </w:r>
      <w:r w:rsidR="00C542E2">
        <w:rPr>
          <w:lang w:val="en-US"/>
        </w:rPr>
        <w:t xml:space="preserve"> providers</w:t>
      </w:r>
      <w:r w:rsidR="000C10F1">
        <w:rPr>
          <w:lang w:val="en-US"/>
        </w:rPr>
        <w:t xml:space="preserve"> legitimate concerns.</w:t>
      </w:r>
    </w:p>
    <w:p w14:paraId="6EF09ED2" w14:textId="36800309" w:rsidR="000C10F1" w:rsidRPr="000C10F1" w:rsidRDefault="000C10F1" w:rsidP="000C10F1">
      <w:pPr>
        <w:spacing w:after="0" w:line="240" w:lineRule="auto"/>
        <w:rPr>
          <w:lang w:val="en-US"/>
        </w:rPr>
      </w:pPr>
    </w:p>
    <w:p w14:paraId="2789C1A8" w14:textId="0D3583EA" w:rsidR="00544946" w:rsidRPr="000C10F1" w:rsidRDefault="00544946" w:rsidP="00544946">
      <w:pPr>
        <w:pStyle w:val="ListParagraph"/>
        <w:numPr>
          <w:ilvl w:val="0"/>
          <w:numId w:val="13"/>
        </w:numPr>
        <w:spacing w:after="0" w:line="240" w:lineRule="auto"/>
        <w:contextualSpacing w:val="0"/>
        <w:rPr>
          <w:rFonts w:ascii="Calibri" w:hAnsi="Calibri"/>
          <w:lang w:val="en-US"/>
        </w:rPr>
      </w:pPr>
      <w:r>
        <w:rPr>
          <w:lang w:val="en-US"/>
        </w:rPr>
        <w:t xml:space="preserve">Use of </w:t>
      </w:r>
      <w:r w:rsidR="00F001B7">
        <w:rPr>
          <w:lang w:val="en-US"/>
        </w:rPr>
        <w:t xml:space="preserve">a web-based </w:t>
      </w:r>
      <w:r w:rsidR="000C10F1">
        <w:rPr>
          <w:lang w:val="en-US"/>
        </w:rPr>
        <w:t xml:space="preserve">data viewer </w:t>
      </w:r>
      <w:r w:rsidR="00F001B7">
        <w:rPr>
          <w:lang w:val="en-US"/>
        </w:rPr>
        <w:t>service</w:t>
      </w:r>
      <w:r>
        <w:rPr>
          <w:lang w:val="en-US"/>
        </w:rPr>
        <w:t xml:space="preserve"> (updated every 5/6 mins) to monitor responses</w:t>
      </w:r>
      <w:r w:rsidR="001946B4">
        <w:rPr>
          <w:lang w:val="en-US"/>
        </w:rPr>
        <w:t xml:space="preserve"> would be beneficial.</w:t>
      </w:r>
    </w:p>
    <w:p w14:paraId="0BC2C7BE" w14:textId="245D1AA7" w:rsidR="000C10F1" w:rsidRPr="000C10F1" w:rsidRDefault="000C10F1" w:rsidP="000C10F1">
      <w:pPr>
        <w:pStyle w:val="ListParagraph"/>
        <w:rPr>
          <w:rFonts w:ascii="Calibri" w:hAnsi="Calibri"/>
          <w:lang w:val="en-US"/>
        </w:rPr>
      </w:pPr>
    </w:p>
    <w:p w14:paraId="6AD7237E" w14:textId="1F858303" w:rsidR="00544946" w:rsidRDefault="00544946" w:rsidP="00544946">
      <w:pPr>
        <w:pStyle w:val="ListParagraph"/>
        <w:numPr>
          <w:ilvl w:val="0"/>
          <w:numId w:val="13"/>
        </w:numPr>
        <w:spacing w:after="0" w:line="240" w:lineRule="auto"/>
        <w:contextualSpacing w:val="0"/>
        <w:rPr>
          <w:lang w:val="en-US"/>
        </w:rPr>
      </w:pPr>
      <w:r>
        <w:rPr>
          <w:lang w:val="en-US"/>
        </w:rPr>
        <w:t>Cost entailed if partial centrali</w:t>
      </w:r>
      <w:r w:rsidR="00C542E2">
        <w:rPr>
          <w:lang w:val="en-US"/>
        </w:rPr>
        <w:t>s</w:t>
      </w:r>
      <w:r>
        <w:rPr>
          <w:lang w:val="en-US"/>
        </w:rPr>
        <w:t>ation? Would project teams be designated for this?</w:t>
      </w:r>
      <w:r w:rsidR="001946B4">
        <w:rPr>
          <w:lang w:val="en-US"/>
        </w:rPr>
        <w:t xml:space="preserve"> What efficiencies would HE</w:t>
      </w:r>
      <w:r w:rsidR="00C542E2">
        <w:rPr>
          <w:lang w:val="en-US"/>
        </w:rPr>
        <w:t xml:space="preserve"> providers</w:t>
      </w:r>
      <w:r w:rsidR="001946B4">
        <w:rPr>
          <w:lang w:val="en-US"/>
        </w:rPr>
        <w:t xml:space="preserve"> make?</w:t>
      </w:r>
    </w:p>
    <w:p w14:paraId="395B3ABB" w14:textId="1830798F" w:rsidR="000C10F1" w:rsidRPr="000C10F1" w:rsidRDefault="000C10F1" w:rsidP="000C10F1">
      <w:pPr>
        <w:pStyle w:val="ListParagraph"/>
        <w:rPr>
          <w:lang w:val="en-US"/>
        </w:rPr>
      </w:pPr>
    </w:p>
    <w:p w14:paraId="514B172C" w14:textId="5FFFD4CB" w:rsidR="00544946" w:rsidRDefault="00544946" w:rsidP="00544946">
      <w:pPr>
        <w:pStyle w:val="ListParagraph"/>
        <w:numPr>
          <w:ilvl w:val="0"/>
          <w:numId w:val="13"/>
        </w:numPr>
        <w:spacing w:after="0" w:line="240" w:lineRule="auto"/>
        <w:contextualSpacing w:val="0"/>
        <w:rPr>
          <w:lang w:val="en-US"/>
        </w:rPr>
      </w:pPr>
      <w:r>
        <w:rPr>
          <w:lang w:val="en-US"/>
        </w:rPr>
        <w:t xml:space="preserve">Highly skilled telephone operative for surveying students </w:t>
      </w:r>
      <w:r w:rsidR="000C10F1">
        <w:rPr>
          <w:lang w:val="en-US"/>
        </w:rPr>
        <w:t xml:space="preserve">could be more </w:t>
      </w:r>
      <w:r>
        <w:rPr>
          <w:lang w:val="en-US"/>
        </w:rPr>
        <w:t>beneficial</w:t>
      </w:r>
      <w:r w:rsidR="000C10F1">
        <w:rPr>
          <w:lang w:val="en-US"/>
        </w:rPr>
        <w:t xml:space="preserve"> than casually-recruited staff</w:t>
      </w:r>
      <w:r>
        <w:rPr>
          <w:lang w:val="en-US"/>
        </w:rPr>
        <w:t xml:space="preserve"> (mor</w:t>
      </w:r>
      <w:r w:rsidR="000C10F1">
        <w:rPr>
          <w:lang w:val="en-US"/>
        </w:rPr>
        <w:t>e detailed information gained) but it was important that interviewers had a good level of understanding – in some HE</w:t>
      </w:r>
      <w:r w:rsidR="00C542E2">
        <w:rPr>
          <w:lang w:val="en-US"/>
        </w:rPr>
        <w:t xml:space="preserve"> providers</w:t>
      </w:r>
      <w:r w:rsidR="000C10F1">
        <w:rPr>
          <w:lang w:val="en-US"/>
        </w:rPr>
        <w:t xml:space="preserve"> academic staff undertake the survey.</w:t>
      </w:r>
    </w:p>
    <w:p w14:paraId="7DFDB5C6" w14:textId="4D374BDF" w:rsidR="000C10F1" w:rsidRPr="000C10F1" w:rsidRDefault="000C10F1" w:rsidP="000C10F1">
      <w:pPr>
        <w:pStyle w:val="ListParagraph"/>
        <w:rPr>
          <w:lang w:val="en-US"/>
        </w:rPr>
      </w:pPr>
    </w:p>
    <w:p w14:paraId="7CAD7197" w14:textId="5207AAD4" w:rsidR="000C10F1" w:rsidRDefault="000C10F1" w:rsidP="000C10F1">
      <w:pPr>
        <w:pStyle w:val="ListParagraph"/>
        <w:numPr>
          <w:ilvl w:val="0"/>
          <w:numId w:val="13"/>
        </w:numPr>
        <w:spacing w:after="0" w:line="240" w:lineRule="auto"/>
        <w:contextualSpacing w:val="0"/>
        <w:rPr>
          <w:lang w:val="en-US"/>
        </w:rPr>
      </w:pPr>
      <w:r>
        <w:rPr>
          <w:rFonts w:eastAsia="Times New Roman"/>
        </w:rPr>
        <w:t>SOC</w:t>
      </w:r>
      <w:r w:rsidR="00C542E2">
        <w:rPr>
          <w:rFonts w:eastAsia="Times New Roman"/>
        </w:rPr>
        <w:t xml:space="preserve"> </w:t>
      </w:r>
      <w:r w:rsidR="00544946">
        <w:rPr>
          <w:rFonts w:eastAsia="Times New Roman"/>
        </w:rPr>
        <w:t xml:space="preserve">coding </w:t>
      </w:r>
      <w:r>
        <w:rPr>
          <w:rFonts w:eastAsia="Times New Roman"/>
        </w:rPr>
        <w:t xml:space="preserve">could be </w:t>
      </w:r>
      <w:r w:rsidR="00544946">
        <w:rPr>
          <w:rFonts w:eastAsia="Times New Roman"/>
        </w:rPr>
        <w:t xml:space="preserve">provided by </w:t>
      </w:r>
      <w:r>
        <w:rPr>
          <w:rFonts w:eastAsia="Times New Roman"/>
        </w:rPr>
        <w:t xml:space="preserve">an </w:t>
      </w:r>
      <w:r w:rsidR="00544946">
        <w:rPr>
          <w:rFonts w:eastAsia="Times New Roman"/>
        </w:rPr>
        <w:t xml:space="preserve">outsourced </w:t>
      </w:r>
      <w:r>
        <w:rPr>
          <w:rFonts w:eastAsia="Times New Roman"/>
        </w:rPr>
        <w:t>provider on a weekly/frequent basis rather than all-at-once. SOC</w:t>
      </w:r>
      <w:r w:rsidR="00C542E2">
        <w:rPr>
          <w:rFonts w:eastAsia="Times New Roman"/>
        </w:rPr>
        <w:t xml:space="preserve"> </w:t>
      </w:r>
      <w:r>
        <w:rPr>
          <w:rFonts w:eastAsia="Times New Roman"/>
        </w:rPr>
        <w:t xml:space="preserve">coders should </w:t>
      </w:r>
      <w:r w:rsidR="00544946">
        <w:rPr>
          <w:rFonts w:eastAsia="Times New Roman"/>
        </w:rPr>
        <w:t>keep notes explaining decision making (good practice for audit). S</w:t>
      </w:r>
      <w:r>
        <w:rPr>
          <w:rFonts w:eastAsia="Times New Roman"/>
        </w:rPr>
        <w:t xml:space="preserve">ome </w:t>
      </w:r>
      <w:r w:rsidRPr="000C10F1">
        <w:rPr>
          <w:lang w:val="en-US"/>
        </w:rPr>
        <w:t>s</w:t>
      </w:r>
      <w:r w:rsidR="00544946" w:rsidRPr="000C10F1">
        <w:rPr>
          <w:lang w:val="en-US"/>
        </w:rPr>
        <w:t xml:space="preserve">upport </w:t>
      </w:r>
      <w:r w:rsidRPr="000C10F1">
        <w:rPr>
          <w:lang w:val="en-US"/>
        </w:rPr>
        <w:t xml:space="preserve">would be required </w:t>
      </w:r>
      <w:r w:rsidR="00544946" w:rsidRPr="000C10F1">
        <w:rPr>
          <w:lang w:val="en-US"/>
        </w:rPr>
        <w:t xml:space="preserve">from universities or </w:t>
      </w:r>
      <w:r w:rsidRPr="000C10F1">
        <w:rPr>
          <w:lang w:val="en-US"/>
        </w:rPr>
        <w:t xml:space="preserve">other </w:t>
      </w:r>
      <w:r w:rsidR="00544946" w:rsidRPr="000C10F1">
        <w:rPr>
          <w:lang w:val="en-US"/>
        </w:rPr>
        <w:t>su</w:t>
      </w:r>
      <w:r w:rsidR="00AA3419" w:rsidRPr="000C10F1">
        <w:rPr>
          <w:lang w:val="en-US"/>
        </w:rPr>
        <w:t>bject experts to assure coding</w:t>
      </w:r>
      <w:r w:rsidR="001946B4" w:rsidRPr="000C10F1">
        <w:rPr>
          <w:lang w:val="en-US"/>
        </w:rPr>
        <w:t xml:space="preserve"> accuracy</w:t>
      </w:r>
      <w:r w:rsidRPr="000C10F1">
        <w:rPr>
          <w:lang w:val="en-US"/>
        </w:rPr>
        <w:t>.</w:t>
      </w:r>
    </w:p>
    <w:p w14:paraId="4EE37BA4" w14:textId="483A802A" w:rsidR="000C10F1" w:rsidRPr="000C10F1" w:rsidRDefault="000C10F1" w:rsidP="000C10F1">
      <w:pPr>
        <w:spacing w:after="0" w:line="240" w:lineRule="auto"/>
        <w:rPr>
          <w:lang w:val="en-US"/>
        </w:rPr>
      </w:pPr>
    </w:p>
    <w:p w14:paraId="7C10AE41" w14:textId="0B31565E" w:rsidR="00544946" w:rsidRDefault="00544946" w:rsidP="000C10F1">
      <w:pPr>
        <w:pStyle w:val="ListParagraph"/>
        <w:numPr>
          <w:ilvl w:val="0"/>
          <w:numId w:val="13"/>
        </w:numPr>
        <w:spacing w:after="0" w:line="240" w:lineRule="auto"/>
        <w:contextualSpacing w:val="0"/>
        <w:rPr>
          <w:lang w:val="en-US"/>
        </w:rPr>
      </w:pPr>
      <w:r w:rsidRPr="000C10F1">
        <w:rPr>
          <w:lang w:val="en-US"/>
        </w:rPr>
        <w:t>Retain</w:t>
      </w:r>
      <w:r w:rsidR="003E5711" w:rsidRPr="000C10F1">
        <w:rPr>
          <w:lang w:val="en-US"/>
        </w:rPr>
        <w:t xml:space="preserve"> some</w:t>
      </w:r>
      <w:r w:rsidRPr="000C10F1">
        <w:rPr>
          <w:lang w:val="en-US"/>
        </w:rPr>
        <w:t xml:space="preserve"> audit</w:t>
      </w:r>
      <w:r w:rsidR="003E5711" w:rsidRPr="000C10F1">
        <w:rPr>
          <w:lang w:val="en-US"/>
        </w:rPr>
        <w:t xml:space="preserve"> facility</w:t>
      </w:r>
      <w:r w:rsidR="001946B4" w:rsidRPr="000C10F1">
        <w:rPr>
          <w:lang w:val="en-US"/>
        </w:rPr>
        <w:t xml:space="preserve"> for a centralised system</w:t>
      </w:r>
      <w:r w:rsidR="00AA3419" w:rsidRPr="000C10F1">
        <w:rPr>
          <w:lang w:val="en-US"/>
        </w:rPr>
        <w:t xml:space="preserve"> – all users have an interest in data quality</w:t>
      </w:r>
      <w:r w:rsidR="000C10F1">
        <w:rPr>
          <w:lang w:val="en-US"/>
        </w:rPr>
        <w:t>, and there would be interest in demonstrating that all HE</w:t>
      </w:r>
      <w:r w:rsidR="00C542E2">
        <w:rPr>
          <w:lang w:val="en-US"/>
        </w:rPr>
        <w:t xml:space="preserve"> providers</w:t>
      </w:r>
      <w:r w:rsidR="000C10F1">
        <w:rPr>
          <w:lang w:val="en-US"/>
        </w:rPr>
        <w:t xml:space="preserve"> have equal treatment.</w:t>
      </w:r>
    </w:p>
    <w:p w14:paraId="3AD4CDE7" w14:textId="0C4D3F27" w:rsidR="000C10F1" w:rsidRPr="000C10F1" w:rsidRDefault="000C10F1" w:rsidP="000C10F1">
      <w:pPr>
        <w:spacing w:after="0" w:line="240" w:lineRule="auto"/>
        <w:rPr>
          <w:lang w:val="en-US"/>
        </w:rPr>
      </w:pPr>
    </w:p>
    <w:p w14:paraId="5CCF1E59" w14:textId="4FFE5F21" w:rsidR="00544946" w:rsidRDefault="00544946" w:rsidP="000C10F1">
      <w:pPr>
        <w:pStyle w:val="ListParagraph"/>
        <w:numPr>
          <w:ilvl w:val="0"/>
          <w:numId w:val="13"/>
        </w:numPr>
        <w:spacing w:after="0" w:line="240" w:lineRule="auto"/>
        <w:contextualSpacing w:val="0"/>
        <w:rPr>
          <w:lang w:val="en-US"/>
        </w:rPr>
      </w:pPr>
      <w:r w:rsidRPr="000C10F1">
        <w:rPr>
          <w:lang w:val="en-US"/>
        </w:rPr>
        <w:t>Personalised communication from provider to graduates to promote</w:t>
      </w:r>
      <w:r w:rsidR="00AA3419" w:rsidRPr="000C10F1">
        <w:rPr>
          <w:lang w:val="en-US"/>
        </w:rPr>
        <w:t xml:space="preserve"> the survey</w:t>
      </w:r>
      <w:r w:rsidR="001946B4" w:rsidRPr="000C10F1">
        <w:rPr>
          <w:lang w:val="en-US"/>
        </w:rPr>
        <w:t xml:space="preserve"> would help uptake</w:t>
      </w:r>
      <w:r w:rsidR="000C10F1">
        <w:rPr>
          <w:lang w:val="en-US"/>
        </w:rPr>
        <w:t>, and could be retained even in a centrali</w:t>
      </w:r>
      <w:r w:rsidR="00C542E2">
        <w:rPr>
          <w:lang w:val="en-US"/>
        </w:rPr>
        <w:t>s</w:t>
      </w:r>
      <w:r w:rsidR="000C10F1">
        <w:rPr>
          <w:lang w:val="en-US"/>
        </w:rPr>
        <w:t>ed process.</w:t>
      </w:r>
    </w:p>
    <w:p w14:paraId="7237F020" w14:textId="597CF231" w:rsidR="000C10F1" w:rsidRPr="000C10F1" w:rsidRDefault="000C10F1" w:rsidP="000C10F1">
      <w:pPr>
        <w:spacing w:after="0" w:line="240" w:lineRule="auto"/>
        <w:rPr>
          <w:lang w:val="en-US"/>
        </w:rPr>
      </w:pPr>
    </w:p>
    <w:p w14:paraId="2C0A0073" w14:textId="3FCEC486" w:rsidR="00544946" w:rsidRDefault="00AA3419" w:rsidP="000C10F1">
      <w:pPr>
        <w:pStyle w:val="ListParagraph"/>
        <w:numPr>
          <w:ilvl w:val="0"/>
          <w:numId w:val="13"/>
        </w:numPr>
        <w:spacing w:after="0" w:line="240" w:lineRule="auto"/>
        <w:contextualSpacing w:val="0"/>
        <w:rPr>
          <w:lang w:val="en-US"/>
        </w:rPr>
      </w:pPr>
      <w:r w:rsidRPr="000C10F1">
        <w:rPr>
          <w:lang w:val="en-US"/>
        </w:rPr>
        <w:t>The m</w:t>
      </w:r>
      <w:r w:rsidR="00544946" w:rsidRPr="000C10F1">
        <w:rPr>
          <w:lang w:val="en-US"/>
        </w:rPr>
        <w:t xml:space="preserve">ethod of collection doesn't matter to data users </w:t>
      </w:r>
      <w:r w:rsidR="000C10F1" w:rsidRPr="000C10F1">
        <w:rPr>
          <w:lang w:val="en-US"/>
        </w:rPr>
        <w:t>if</w:t>
      </w:r>
      <w:r w:rsidR="00544946" w:rsidRPr="000C10F1">
        <w:rPr>
          <w:lang w:val="en-US"/>
        </w:rPr>
        <w:t xml:space="preserve"> it</w:t>
      </w:r>
      <w:r w:rsidR="001946B4" w:rsidRPr="000C10F1">
        <w:rPr>
          <w:lang w:val="en-US"/>
        </w:rPr>
        <w:t xml:space="preserve"> is</w:t>
      </w:r>
      <w:r w:rsidR="00544946" w:rsidRPr="000C10F1">
        <w:rPr>
          <w:lang w:val="en-US"/>
        </w:rPr>
        <w:t xml:space="preserve"> robust</w:t>
      </w:r>
      <w:r w:rsidRPr="000C10F1">
        <w:rPr>
          <w:lang w:val="en-US"/>
        </w:rPr>
        <w:t xml:space="preserve"> and trusted</w:t>
      </w:r>
      <w:r w:rsidR="000C10F1">
        <w:rPr>
          <w:lang w:val="en-US"/>
        </w:rPr>
        <w:t>.</w:t>
      </w:r>
    </w:p>
    <w:p w14:paraId="6764987C" w14:textId="270F24BF" w:rsidR="000C10F1" w:rsidRPr="000C10F1" w:rsidRDefault="000C10F1" w:rsidP="000C10F1">
      <w:pPr>
        <w:spacing w:after="0" w:line="240" w:lineRule="auto"/>
        <w:rPr>
          <w:lang w:val="en-US"/>
        </w:rPr>
      </w:pPr>
    </w:p>
    <w:p w14:paraId="513CDBBC" w14:textId="71018259" w:rsidR="00544946" w:rsidRDefault="00544946" w:rsidP="000C10F1">
      <w:pPr>
        <w:pStyle w:val="ListParagraph"/>
        <w:numPr>
          <w:ilvl w:val="0"/>
          <w:numId w:val="13"/>
        </w:numPr>
        <w:spacing w:after="0" w:line="240" w:lineRule="auto"/>
        <w:contextualSpacing w:val="0"/>
        <w:rPr>
          <w:lang w:val="en-US"/>
        </w:rPr>
      </w:pPr>
      <w:r w:rsidRPr="000C10F1">
        <w:rPr>
          <w:lang w:val="en-US"/>
        </w:rPr>
        <w:t xml:space="preserve">Procurement specialists </w:t>
      </w:r>
      <w:r w:rsidR="003D3B9D" w:rsidRPr="000C10F1">
        <w:rPr>
          <w:lang w:val="en-US"/>
        </w:rPr>
        <w:t xml:space="preserve">must be </w:t>
      </w:r>
      <w:r w:rsidRPr="000C10F1">
        <w:rPr>
          <w:lang w:val="en-US"/>
        </w:rPr>
        <w:t xml:space="preserve">involved in the </w:t>
      </w:r>
      <w:r w:rsidR="003E5711" w:rsidRPr="000C10F1">
        <w:rPr>
          <w:lang w:val="en-US"/>
        </w:rPr>
        <w:t>development</w:t>
      </w:r>
      <w:r w:rsidR="001946B4" w:rsidRPr="000C10F1">
        <w:rPr>
          <w:lang w:val="en-US"/>
        </w:rPr>
        <w:t xml:space="preserve"> of any centralised system</w:t>
      </w:r>
      <w:r w:rsidR="000C10F1">
        <w:rPr>
          <w:lang w:val="en-US"/>
        </w:rPr>
        <w:t>.</w:t>
      </w:r>
    </w:p>
    <w:p w14:paraId="61F27B41" w14:textId="292491F1" w:rsidR="000C10F1" w:rsidRPr="000C10F1" w:rsidRDefault="000C10F1" w:rsidP="000C10F1">
      <w:pPr>
        <w:spacing w:after="0" w:line="240" w:lineRule="auto"/>
        <w:rPr>
          <w:lang w:val="en-US"/>
        </w:rPr>
      </w:pPr>
    </w:p>
    <w:p w14:paraId="1D6D610F" w14:textId="3B192D0F" w:rsidR="00544946" w:rsidRPr="000C10F1" w:rsidRDefault="00544946" w:rsidP="000C10F1">
      <w:pPr>
        <w:pStyle w:val="ListParagraph"/>
        <w:numPr>
          <w:ilvl w:val="0"/>
          <w:numId w:val="13"/>
        </w:numPr>
        <w:spacing w:after="0" w:line="240" w:lineRule="auto"/>
        <w:contextualSpacing w:val="0"/>
        <w:rPr>
          <w:lang w:val="en-US"/>
        </w:rPr>
      </w:pPr>
      <w:r w:rsidRPr="000C10F1">
        <w:rPr>
          <w:lang w:val="en-US"/>
        </w:rPr>
        <w:t xml:space="preserve">Project teams </w:t>
      </w:r>
      <w:r w:rsidR="000730A6">
        <w:rPr>
          <w:lang w:val="en-US"/>
        </w:rPr>
        <w:t>–</w:t>
      </w:r>
      <w:r w:rsidRPr="000C10F1">
        <w:rPr>
          <w:lang w:val="en-US"/>
        </w:rPr>
        <w:t xml:space="preserve"> </w:t>
      </w:r>
      <w:r w:rsidR="000730A6">
        <w:rPr>
          <w:lang w:val="en-US"/>
        </w:rPr>
        <w:t xml:space="preserve">a </w:t>
      </w:r>
      <w:r w:rsidRPr="000C10F1">
        <w:rPr>
          <w:lang w:val="en-US"/>
        </w:rPr>
        <w:t>project manager</w:t>
      </w:r>
      <w:r w:rsidR="000730A6">
        <w:rPr>
          <w:lang w:val="en-US"/>
        </w:rPr>
        <w:t>/nominated contact</w:t>
      </w:r>
      <w:r w:rsidRPr="000C10F1">
        <w:rPr>
          <w:lang w:val="en-US"/>
        </w:rPr>
        <w:t xml:space="preserve"> at an HE provider </w:t>
      </w:r>
      <w:r w:rsidR="000730A6">
        <w:rPr>
          <w:lang w:val="en-US"/>
        </w:rPr>
        <w:t xml:space="preserve">could potentially </w:t>
      </w:r>
      <w:r w:rsidRPr="000C10F1">
        <w:rPr>
          <w:lang w:val="en-US"/>
        </w:rPr>
        <w:t>work with the outsourced company</w:t>
      </w:r>
      <w:r w:rsidR="000730A6">
        <w:rPr>
          <w:lang w:val="en-US"/>
        </w:rPr>
        <w:t>.</w:t>
      </w:r>
    </w:p>
    <w:p w14:paraId="65C616DC" w14:textId="77777777" w:rsidR="000C10F1" w:rsidRDefault="000C10F1" w:rsidP="000C10F1">
      <w:pPr>
        <w:pStyle w:val="ListParagraph"/>
        <w:spacing w:after="0" w:line="240" w:lineRule="auto"/>
        <w:contextualSpacing w:val="0"/>
        <w:rPr>
          <w:lang w:val="en-US"/>
        </w:rPr>
      </w:pPr>
    </w:p>
    <w:p w14:paraId="3FEEEA71" w14:textId="427BFC69" w:rsidR="00544946" w:rsidRPr="000C10F1" w:rsidRDefault="00544946" w:rsidP="000C10F1">
      <w:pPr>
        <w:pStyle w:val="ListParagraph"/>
        <w:numPr>
          <w:ilvl w:val="0"/>
          <w:numId w:val="13"/>
        </w:numPr>
        <w:spacing w:after="0" w:line="240" w:lineRule="auto"/>
        <w:contextualSpacing w:val="0"/>
        <w:rPr>
          <w:lang w:val="en-US"/>
        </w:rPr>
      </w:pPr>
      <w:r w:rsidRPr="000C10F1">
        <w:rPr>
          <w:lang w:val="en-US"/>
        </w:rPr>
        <w:t>Providing onwards careers advice</w:t>
      </w:r>
      <w:r w:rsidR="00AA3419" w:rsidRPr="000C10F1">
        <w:rPr>
          <w:lang w:val="en-US"/>
        </w:rPr>
        <w:t xml:space="preserve"> – possibility of referrals to Careers Services</w:t>
      </w:r>
      <w:r w:rsidR="000730A6">
        <w:rPr>
          <w:lang w:val="en-US"/>
        </w:rPr>
        <w:t xml:space="preserve"> from a survey contact.</w:t>
      </w:r>
    </w:p>
    <w:p w14:paraId="41DCDD59" w14:textId="77777777" w:rsidR="000C10F1" w:rsidRDefault="000C10F1" w:rsidP="000C10F1">
      <w:pPr>
        <w:pStyle w:val="ListParagraph"/>
        <w:spacing w:after="0" w:line="240" w:lineRule="auto"/>
        <w:contextualSpacing w:val="0"/>
        <w:rPr>
          <w:lang w:val="en-US"/>
        </w:rPr>
      </w:pPr>
    </w:p>
    <w:p w14:paraId="1503B40F" w14:textId="53ED02DB" w:rsidR="00544946" w:rsidRDefault="00544946" w:rsidP="000C10F1">
      <w:pPr>
        <w:pStyle w:val="ListParagraph"/>
        <w:numPr>
          <w:ilvl w:val="0"/>
          <w:numId w:val="13"/>
        </w:numPr>
        <w:spacing w:after="0" w:line="240" w:lineRule="auto"/>
        <w:contextualSpacing w:val="0"/>
        <w:rPr>
          <w:lang w:val="en-US"/>
        </w:rPr>
      </w:pPr>
      <w:r w:rsidRPr="000C10F1">
        <w:rPr>
          <w:lang w:val="en-US"/>
        </w:rPr>
        <w:lastRenderedPageBreak/>
        <w:t>Reassuring HE providers that their concerns are being met</w:t>
      </w:r>
      <w:r w:rsidR="00AA3419" w:rsidRPr="000C10F1">
        <w:rPr>
          <w:lang w:val="en-US"/>
        </w:rPr>
        <w:t xml:space="preserve"> is key</w:t>
      </w:r>
      <w:r w:rsidR="003D3B9D" w:rsidRPr="000C10F1">
        <w:rPr>
          <w:lang w:val="en-US"/>
        </w:rPr>
        <w:t xml:space="preserve"> to any centralised model</w:t>
      </w:r>
      <w:r w:rsidR="000730A6">
        <w:rPr>
          <w:lang w:val="en-US"/>
        </w:rPr>
        <w:t>.</w:t>
      </w:r>
    </w:p>
    <w:p w14:paraId="2ECD34AD" w14:textId="77777777" w:rsidR="000C10F1" w:rsidRPr="000C10F1" w:rsidRDefault="000C10F1" w:rsidP="000C10F1">
      <w:pPr>
        <w:pStyle w:val="ListParagraph"/>
        <w:spacing w:after="0" w:line="240" w:lineRule="auto"/>
        <w:contextualSpacing w:val="0"/>
        <w:rPr>
          <w:lang w:val="en-US"/>
        </w:rPr>
      </w:pPr>
    </w:p>
    <w:p w14:paraId="3886E452" w14:textId="6C945B90" w:rsidR="00544946" w:rsidRDefault="00544946" w:rsidP="000C10F1">
      <w:pPr>
        <w:pStyle w:val="ListParagraph"/>
        <w:numPr>
          <w:ilvl w:val="0"/>
          <w:numId w:val="13"/>
        </w:numPr>
        <w:spacing w:after="0" w:line="240" w:lineRule="auto"/>
        <w:contextualSpacing w:val="0"/>
        <w:rPr>
          <w:lang w:val="en-US"/>
        </w:rPr>
      </w:pPr>
      <w:r w:rsidRPr="000C10F1">
        <w:rPr>
          <w:lang w:val="en-US"/>
        </w:rPr>
        <w:t>Regular access to granular data</w:t>
      </w:r>
      <w:r w:rsidR="00CD056A" w:rsidRPr="000C10F1">
        <w:rPr>
          <w:lang w:val="en-US"/>
        </w:rPr>
        <w:t xml:space="preserve"> with</w:t>
      </w:r>
      <w:r w:rsidRPr="000C10F1">
        <w:rPr>
          <w:lang w:val="en-US"/>
        </w:rPr>
        <w:t xml:space="preserve"> dialogue</w:t>
      </w:r>
      <w:r w:rsidR="00AA3419" w:rsidRPr="000C10F1">
        <w:rPr>
          <w:lang w:val="en-US"/>
        </w:rPr>
        <w:t xml:space="preserve"> on the data between HE</w:t>
      </w:r>
      <w:r w:rsidR="00C542E2">
        <w:rPr>
          <w:lang w:val="en-US"/>
        </w:rPr>
        <w:t xml:space="preserve"> providers</w:t>
      </w:r>
      <w:r w:rsidR="00AA3419" w:rsidRPr="000C10F1">
        <w:rPr>
          <w:lang w:val="en-US"/>
        </w:rPr>
        <w:t xml:space="preserve"> and survey provider</w:t>
      </w:r>
    </w:p>
    <w:p w14:paraId="19A5B958" w14:textId="77777777" w:rsidR="000C10F1" w:rsidRPr="000C10F1" w:rsidRDefault="000C10F1" w:rsidP="000C10F1">
      <w:pPr>
        <w:pStyle w:val="ListParagraph"/>
        <w:spacing w:after="0" w:line="240" w:lineRule="auto"/>
        <w:contextualSpacing w:val="0"/>
        <w:rPr>
          <w:lang w:val="en-US"/>
        </w:rPr>
      </w:pPr>
    </w:p>
    <w:p w14:paraId="7E59226F" w14:textId="54D6C8DD" w:rsidR="00E00700" w:rsidRPr="000C10F1" w:rsidRDefault="00544946" w:rsidP="000C10F1">
      <w:pPr>
        <w:pStyle w:val="ListParagraph"/>
        <w:numPr>
          <w:ilvl w:val="0"/>
          <w:numId w:val="13"/>
        </w:numPr>
        <w:spacing w:after="0" w:line="240" w:lineRule="auto"/>
        <w:contextualSpacing w:val="0"/>
        <w:rPr>
          <w:rFonts w:asciiTheme="minorHAnsi" w:eastAsia="Times New Roman" w:hAnsiTheme="minorHAnsi" w:cs="Times New Roman"/>
        </w:rPr>
      </w:pPr>
      <w:r w:rsidRPr="000C10F1">
        <w:rPr>
          <w:lang w:val="en-US"/>
        </w:rPr>
        <w:t>Centralisation would benefit from starting fro</w:t>
      </w:r>
      <w:r>
        <w:rPr>
          <w:rFonts w:eastAsia="Times New Roman"/>
        </w:rPr>
        <w:t xml:space="preserve">m </w:t>
      </w:r>
      <w:r w:rsidR="00585642">
        <w:rPr>
          <w:rFonts w:eastAsia="Times New Roman"/>
        </w:rPr>
        <w:t>“</w:t>
      </w:r>
      <w:r>
        <w:rPr>
          <w:rFonts w:eastAsia="Times New Roman"/>
        </w:rPr>
        <w:t>year zero</w:t>
      </w:r>
      <w:r w:rsidR="00585642">
        <w:rPr>
          <w:rFonts w:eastAsia="Times New Roman"/>
        </w:rPr>
        <w:t>”</w:t>
      </w:r>
      <w:r w:rsidR="003D3B9D">
        <w:rPr>
          <w:rFonts w:eastAsia="Times New Roman"/>
        </w:rPr>
        <w:t xml:space="preserve"> to minimise “legacy” issues</w:t>
      </w:r>
      <w:r>
        <w:rPr>
          <w:rFonts w:eastAsia="Times New Roman"/>
        </w:rPr>
        <w:t>.</w:t>
      </w:r>
    </w:p>
    <w:p w14:paraId="4EE4B21B" w14:textId="77777777" w:rsidR="000C10F1" w:rsidRPr="00516174" w:rsidRDefault="000C10F1" w:rsidP="000C10F1">
      <w:pPr>
        <w:pStyle w:val="ListParagraph"/>
        <w:spacing w:after="0" w:line="240" w:lineRule="auto"/>
        <w:contextualSpacing w:val="0"/>
        <w:rPr>
          <w:rFonts w:asciiTheme="minorHAnsi" w:eastAsia="Times New Roman" w:hAnsiTheme="minorHAnsi" w:cs="Times New Roman"/>
        </w:rPr>
      </w:pPr>
    </w:p>
    <w:p w14:paraId="0A08E98E" w14:textId="112BE190" w:rsidR="00516174" w:rsidRPr="00516174" w:rsidRDefault="00516174" w:rsidP="00516174">
      <w:pPr>
        <w:rPr>
          <w:rFonts w:asciiTheme="minorHAnsi" w:eastAsia="Times New Roman" w:hAnsiTheme="minorHAnsi" w:cs="Times New Roman"/>
        </w:rPr>
      </w:pPr>
      <w:r>
        <w:t>Summarising the wide-ranging discussions, DC summarised the advice as being</w:t>
      </w:r>
      <w:r w:rsidR="00CD056A">
        <w:t xml:space="preserve"> cautious support for centralisation, and</w:t>
      </w:r>
      <w:r>
        <w:t xml:space="preserve"> to ask the Working Group to assist in developing a </w:t>
      </w:r>
      <w:r w:rsidR="00CD056A">
        <w:t xml:space="preserve">centralised model for the NewDLHE that addresses the </w:t>
      </w:r>
      <w:r w:rsidR="008252DF">
        <w:t xml:space="preserve">practical </w:t>
      </w:r>
      <w:r w:rsidR="000730A6">
        <w:t>concerns of HE providers, and took on-board the advice of the group.</w:t>
      </w:r>
    </w:p>
    <w:p w14:paraId="39219C3A" w14:textId="77777777" w:rsidR="00E00700" w:rsidRDefault="00E00700" w:rsidP="00E00700">
      <w:pPr>
        <w:pStyle w:val="Body-text"/>
        <w:tabs>
          <w:tab w:val="right" w:pos="9456"/>
        </w:tabs>
        <w:ind w:left="360"/>
      </w:pPr>
    </w:p>
    <w:p w14:paraId="40751AFD" w14:textId="52EAD2F6" w:rsidR="00E00700" w:rsidRPr="00922A3A" w:rsidRDefault="00E00700" w:rsidP="00441EA0">
      <w:pPr>
        <w:pStyle w:val="Body-text"/>
        <w:numPr>
          <w:ilvl w:val="0"/>
          <w:numId w:val="2"/>
        </w:numPr>
        <w:tabs>
          <w:tab w:val="right" w:pos="9456"/>
        </w:tabs>
        <w:ind w:left="360"/>
        <w:rPr>
          <w:b/>
        </w:rPr>
      </w:pPr>
      <w:r w:rsidRPr="00922A3A">
        <w:rPr>
          <w:b/>
        </w:rPr>
        <w:t xml:space="preserve">Timing </w:t>
      </w:r>
      <w:r w:rsidRPr="00922A3A">
        <w:t>(Paper 4)</w:t>
      </w:r>
    </w:p>
    <w:p w14:paraId="71C87965" w14:textId="3FF010F7" w:rsidR="00E00700" w:rsidRDefault="00CD056A" w:rsidP="00E00700">
      <w:pPr>
        <w:pStyle w:val="Body-text"/>
        <w:tabs>
          <w:tab w:val="right" w:pos="9456"/>
        </w:tabs>
      </w:pPr>
      <w:r>
        <w:t xml:space="preserve">The Review </w:t>
      </w:r>
      <w:r w:rsidR="00277790">
        <w:t xml:space="preserve">has </w:t>
      </w:r>
      <w:r>
        <w:t xml:space="preserve">considered timescales for a survey or surveys, and this was a second area where the consultation responses </w:t>
      </w:r>
      <w:r w:rsidR="008C7166">
        <w:t>were in ma</w:t>
      </w:r>
      <w:r w:rsidR="00C542E2">
        <w:t>n</w:t>
      </w:r>
      <w:r w:rsidR="008C7166">
        <w:t xml:space="preserve">y ways equivocal, and </w:t>
      </w:r>
      <w:r w:rsidR="008252DF">
        <w:t>where HESA needed the advice of the Strategic Group</w:t>
      </w:r>
      <w:r>
        <w:t xml:space="preserve">. </w:t>
      </w:r>
      <w:r w:rsidR="00E00700">
        <w:t>DC presented the options for timings set out in paper four, and asked the group t</w:t>
      </w:r>
      <w:r w:rsidR="008252DF">
        <w:t>o consider the questions posed, around number and timing of surveys</w:t>
      </w:r>
      <w:r w:rsidR="00277790">
        <w:t>. Points raised in discussions in groups and in the plenary session included the following:</w:t>
      </w:r>
    </w:p>
    <w:p w14:paraId="11B6AC6D" w14:textId="77777777" w:rsidR="00277790" w:rsidRDefault="00277790" w:rsidP="00E00700">
      <w:pPr>
        <w:pStyle w:val="Body-text"/>
        <w:tabs>
          <w:tab w:val="right" w:pos="9456"/>
        </w:tabs>
      </w:pPr>
    </w:p>
    <w:p w14:paraId="6A5E97EE" w14:textId="128996B5" w:rsidR="00544946" w:rsidRDefault="00544946" w:rsidP="00544946">
      <w:pPr>
        <w:numPr>
          <w:ilvl w:val="0"/>
          <w:numId w:val="14"/>
        </w:numPr>
        <w:contextualSpacing/>
        <w:rPr>
          <w:rFonts w:asciiTheme="minorHAnsi" w:eastAsia="Times New Roman" w:hAnsiTheme="minorHAnsi" w:cs="Times New Roman"/>
        </w:rPr>
      </w:pPr>
      <w:r w:rsidRPr="00544946">
        <w:rPr>
          <w:rFonts w:asciiTheme="minorHAnsi" w:eastAsia="Times New Roman" w:hAnsiTheme="minorHAnsi" w:cs="Times New Roman"/>
        </w:rPr>
        <w:t>The group were</w:t>
      </w:r>
      <w:r w:rsidR="008252DF">
        <w:rPr>
          <w:rFonts w:asciiTheme="minorHAnsi" w:eastAsia="Times New Roman" w:hAnsiTheme="minorHAnsi" w:cs="Times New Roman"/>
        </w:rPr>
        <w:t xml:space="preserve"> generally</w:t>
      </w:r>
      <w:r w:rsidRPr="00544946">
        <w:rPr>
          <w:rFonts w:asciiTheme="minorHAnsi" w:eastAsia="Times New Roman" w:hAnsiTheme="minorHAnsi" w:cs="Times New Roman"/>
        </w:rPr>
        <w:t xml:space="preserve"> in favour of </w:t>
      </w:r>
      <w:r w:rsidR="003E5711">
        <w:rPr>
          <w:rFonts w:asciiTheme="minorHAnsi" w:eastAsia="Times New Roman" w:hAnsiTheme="minorHAnsi" w:cs="Times New Roman"/>
        </w:rPr>
        <w:t xml:space="preserve">pushing </w:t>
      </w:r>
      <w:r w:rsidR="0064043A">
        <w:rPr>
          <w:rFonts w:asciiTheme="minorHAnsi" w:eastAsia="Times New Roman" w:hAnsiTheme="minorHAnsi" w:cs="Times New Roman"/>
        </w:rPr>
        <w:t>the survey out to the 12</w:t>
      </w:r>
      <w:r w:rsidR="00EB4616">
        <w:rPr>
          <w:rFonts w:asciiTheme="minorHAnsi" w:eastAsia="Times New Roman" w:hAnsiTheme="minorHAnsi" w:cs="Times New Roman"/>
        </w:rPr>
        <w:t>-18 month</w:t>
      </w:r>
      <w:r w:rsidR="00C542E2">
        <w:rPr>
          <w:rFonts w:asciiTheme="minorHAnsi" w:eastAsia="Times New Roman" w:hAnsiTheme="minorHAnsi" w:cs="Times New Roman"/>
        </w:rPr>
        <w:t>s</w:t>
      </w:r>
      <w:r w:rsidR="00EB4616">
        <w:rPr>
          <w:rFonts w:asciiTheme="minorHAnsi" w:eastAsia="Times New Roman" w:hAnsiTheme="minorHAnsi" w:cs="Times New Roman"/>
        </w:rPr>
        <w:t xml:space="preserve"> timeframe. Six</w:t>
      </w:r>
      <w:r w:rsidRPr="00544946">
        <w:rPr>
          <w:rFonts w:asciiTheme="minorHAnsi" w:eastAsia="Times New Roman" w:hAnsiTheme="minorHAnsi" w:cs="Times New Roman"/>
        </w:rPr>
        <w:t xml:space="preserve"> months is </w:t>
      </w:r>
      <w:r w:rsidR="00EB4616">
        <w:rPr>
          <w:rFonts w:asciiTheme="minorHAnsi" w:eastAsia="Times New Roman" w:hAnsiTheme="minorHAnsi" w:cs="Times New Roman"/>
        </w:rPr>
        <w:t>considered too soon to make judgements about</w:t>
      </w:r>
      <w:r w:rsidRPr="00544946">
        <w:rPr>
          <w:rFonts w:asciiTheme="minorHAnsi" w:eastAsia="Times New Roman" w:hAnsiTheme="minorHAnsi" w:cs="Times New Roman"/>
        </w:rPr>
        <w:t xml:space="preserve"> out</w:t>
      </w:r>
      <w:r w:rsidR="00277790">
        <w:rPr>
          <w:rFonts w:asciiTheme="minorHAnsi" w:eastAsia="Times New Roman" w:hAnsiTheme="minorHAnsi" w:cs="Times New Roman"/>
        </w:rPr>
        <w:t>comes</w:t>
      </w:r>
      <w:r w:rsidR="00EB4616">
        <w:rPr>
          <w:rFonts w:asciiTheme="minorHAnsi" w:eastAsia="Times New Roman" w:hAnsiTheme="minorHAnsi" w:cs="Times New Roman"/>
        </w:rPr>
        <w:t xml:space="preserve">, especially when these may be judgements on </w:t>
      </w:r>
      <w:r w:rsidR="00C542E2">
        <w:rPr>
          <w:rFonts w:asciiTheme="minorHAnsi" w:eastAsia="Times New Roman" w:hAnsiTheme="minorHAnsi" w:cs="Times New Roman"/>
        </w:rPr>
        <w:t>providers</w:t>
      </w:r>
      <w:r w:rsidR="00EB4616">
        <w:rPr>
          <w:rFonts w:asciiTheme="minorHAnsi" w:eastAsia="Times New Roman" w:hAnsiTheme="minorHAnsi" w:cs="Times New Roman"/>
        </w:rPr>
        <w:t>.</w:t>
      </w:r>
    </w:p>
    <w:p w14:paraId="06CD435A" w14:textId="77777777" w:rsidR="008C7166" w:rsidRPr="00544946" w:rsidRDefault="008C7166" w:rsidP="008C7166">
      <w:pPr>
        <w:ind w:left="720"/>
        <w:contextualSpacing/>
        <w:rPr>
          <w:rFonts w:asciiTheme="minorHAnsi" w:eastAsia="Times New Roman" w:hAnsiTheme="minorHAnsi" w:cs="Times New Roman"/>
        </w:rPr>
      </w:pPr>
    </w:p>
    <w:p w14:paraId="49F77F72" w14:textId="66497526" w:rsidR="00544946" w:rsidRDefault="00FF3C68" w:rsidP="00544946">
      <w:pPr>
        <w:numPr>
          <w:ilvl w:val="0"/>
          <w:numId w:val="14"/>
        </w:numPr>
        <w:contextualSpacing/>
        <w:rPr>
          <w:rFonts w:asciiTheme="minorHAnsi" w:eastAsia="Times New Roman" w:hAnsiTheme="minorHAnsi" w:cs="Times New Roman"/>
        </w:rPr>
      </w:pPr>
      <w:r>
        <w:rPr>
          <w:rFonts w:asciiTheme="minorHAnsi" w:eastAsia="Times New Roman" w:hAnsiTheme="minorHAnsi" w:cs="Times New Roman"/>
        </w:rPr>
        <w:t>T</w:t>
      </w:r>
      <w:r w:rsidR="00544946" w:rsidRPr="00544946">
        <w:rPr>
          <w:rFonts w:asciiTheme="minorHAnsi" w:eastAsia="Times New Roman" w:hAnsiTheme="minorHAnsi" w:cs="Times New Roman"/>
        </w:rPr>
        <w:t>here were questions about whether HE</w:t>
      </w:r>
      <w:r w:rsidR="00C542E2">
        <w:rPr>
          <w:rFonts w:asciiTheme="minorHAnsi" w:eastAsia="Times New Roman" w:hAnsiTheme="minorHAnsi" w:cs="Times New Roman"/>
        </w:rPr>
        <w:t xml:space="preserve"> providers</w:t>
      </w:r>
      <w:r w:rsidR="00544946" w:rsidRPr="00544946">
        <w:rPr>
          <w:rFonts w:asciiTheme="minorHAnsi" w:eastAsia="Times New Roman" w:hAnsiTheme="minorHAnsi" w:cs="Times New Roman"/>
        </w:rPr>
        <w:t xml:space="preserve"> </w:t>
      </w:r>
      <w:r w:rsidR="00AA3419">
        <w:rPr>
          <w:rFonts w:asciiTheme="minorHAnsi" w:eastAsia="Times New Roman" w:hAnsiTheme="minorHAnsi" w:cs="Times New Roman"/>
        </w:rPr>
        <w:t xml:space="preserve">or other users </w:t>
      </w:r>
      <w:r w:rsidR="00544946" w:rsidRPr="00544946">
        <w:rPr>
          <w:rFonts w:asciiTheme="minorHAnsi" w:eastAsia="Times New Roman" w:hAnsiTheme="minorHAnsi" w:cs="Times New Roman"/>
        </w:rPr>
        <w:t>could contract for different survey points of interest to them. For example,</w:t>
      </w:r>
      <w:r w:rsidR="00AA3419">
        <w:rPr>
          <w:rFonts w:asciiTheme="minorHAnsi" w:eastAsia="Times New Roman" w:hAnsiTheme="minorHAnsi" w:cs="Times New Roman"/>
        </w:rPr>
        <w:t xml:space="preserve"> the</w:t>
      </w:r>
      <w:r w:rsidR="00544946" w:rsidRPr="00544946">
        <w:rPr>
          <w:rFonts w:asciiTheme="minorHAnsi" w:eastAsia="Times New Roman" w:hAnsiTheme="minorHAnsi" w:cs="Times New Roman"/>
        </w:rPr>
        <w:t xml:space="preserve"> NHS need to know </w:t>
      </w:r>
      <w:r w:rsidR="008C7166">
        <w:rPr>
          <w:rFonts w:asciiTheme="minorHAnsi" w:eastAsia="Times New Roman" w:hAnsiTheme="minorHAnsi" w:cs="Times New Roman"/>
        </w:rPr>
        <w:t>before 12/18 months that a graduate has</w:t>
      </w:r>
      <w:r w:rsidR="00544946" w:rsidRPr="00544946">
        <w:rPr>
          <w:rFonts w:asciiTheme="minorHAnsi" w:eastAsia="Times New Roman" w:hAnsiTheme="minorHAnsi" w:cs="Times New Roman"/>
        </w:rPr>
        <w:t xml:space="preserve"> not gone on to Nursing</w:t>
      </w:r>
      <w:r w:rsidR="00C542E2">
        <w:rPr>
          <w:rFonts w:asciiTheme="minorHAnsi" w:eastAsia="Times New Roman" w:hAnsiTheme="minorHAnsi" w:cs="Times New Roman"/>
        </w:rPr>
        <w:t>;</w:t>
      </w:r>
      <w:r>
        <w:rPr>
          <w:rFonts w:asciiTheme="minorHAnsi" w:eastAsia="Times New Roman" w:hAnsiTheme="minorHAnsi" w:cs="Times New Roman"/>
        </w:rPr>
        <w:t xml:space="preserve"> other examples were offered relating to additional surveying (and additional survey questions) by HE</w:t>
      </w:r>
      <w:r w:rsidR="00C542E2">
        <w:rPr>
          <w:rFonts w:asciiTheme="minorHAnsi" w:eastAsia="Times New Roman" w:hAnsiTheme="minorHAnsi" w:cs="Times New Roman"/>
        </w:rPr>
        <w:t xml:space="preserve"> providers</w:t>
      </w:r>
      <w:r w:rsidR="00544946" w:rsidRPr="00544946">
        <w:rPr>
          <w:rFonts w:asciiTheme="minorHAnsi" w:eastAsia="Times New Roman" w:hAnsiTheme="minorHAnsi" w:cs="Times New Roman"/>
        </w:rPr>
        <w:t>. Is there a residual n</w:t>
      </w:r>
      <w:r w:rsidR="00990475">
        <w:rPr>
          <w:rFonts w:asciiTheme="minorHAnsi" w:eastAsia="Times New Roman" w:hAnsiTheme="minorHAnsi" w:cs="Times New Roman"/>
        </w:rPr>
        <w:t>eed for some form of six-</w:t>
      </w:r>
      <w:r w:rsidR="00544946" w:rsidRPr="00544946">
        <w:rPr>
          <w:rFonts w:asciiTheme="minorHAnsi" w:eastAsia="Times New Roman" w:hAnsiTheme="minorHAnsi" w:cs="Times New Roman"/>
        </w:rPr>
        <w:t>month survey? Or do HE</w:t>
      </w:r>
      <w:r w:rsidR="00C542E2">
        <w:rPr>
          <w:rFonts w:asciiTheme="minorHAnsi" w:eastAsia="Times New Roman" w:hAnsiTheme="minorHAnsi" w:cs="Times New Roman"/>
        </w:rPr>
        <w:t xml:space="preserve"> providers</w:t>
      </w:r>
      <w:r w:rsidR="00544946" w:rsidRPr="00544946">
        <w:rPr>
          <w:rFonts w:asciiTheme="minorHAnsi" w:eastAsia="Times New Roman" w:hAnsiTheme="minorHAnsi" w:cs="Times New Roman"/>
        </w:rPr>
        <w:t xml:space="preserve"> </w:t>
      </w:r>
      <w:r w:rsidR="00990475">
        <w:rPr>
          <w:rFonts w:asciiTheme="minorHAnsi" w:eastAsia="Times New Roman" w:hAnsiTheme="minorHAnsi" w:cs="Times New Roman"/>
        </w:rPr>
        <w:t>mainly</w:t>
      </w:r>
      <w:r w:rsidR="00544946" w:rsidRPr="00544946">
        <w:rPr>
          <w:rFonts w:asciiTheme="minorHAnsi" w:eastAsia="Times New Roman" w:hAnsiTheme="minorHAnsi" w:cs="Times New Roman"/>
        </w:rPr>
        <w:t xml:space="preserve"> need to intervene around this time point to r</w:t>
      </w:r>
      <w:r w:rsidR="00AA3419">
        <w:rPr>
          <w:rFonts w:asciiTheme="minorHAnsi" w:eastAsia="Times New Roman" w:hAnsiTheme="minorHAnsi" w:cs="Times New Roman"/>
        </w:rPr>
        <w:t>etain contact with participants?</w:t>
      </w:r>
    </w:p>
    <w:p w14:paraId="0C51F32B" w14:textId="22AFA676" w:rsidR="00FF3C68" w:rsidRPr="00544946" w:rsidRDefault="00FF3C68" w:rsidP="00FF3C68">
      <w:pPr>
        <w:contextualSpacing/>
        <w:rPr>
          <w:rFonts w:asciiTheme="minorHAnsi" w:eastAsia="Times New Roman" w:hAnsiTheme="minorHAnsi" w:cs="Times New Roman"/>
        </w:rPr>
      </w:pPr>
    </w:p>
    <w:p w14:paraId="36E1072A" w14:textId="3BB71D9C" w:rsidR="00544946" w:rsidRDefault="003E5711" w:rsidP="00544946">
      <w:pPr>
        <w:numPr>
          <w:ilvl w:val="0"/>
          <w:numId w:val="14"/>
        </w:numPr>
        <w:contextualSpacing/>
        <w:rPr>
          <w:rFonts w:asciiTheme="minorHAnsi" w:eastAsia="Times New Roman" w:hAnsiTheme="minorHAnsi" w:cs="Times New Roman"/>
        </w:rPr>
      </w:pPr>
      <w:r>
        <w:rPr>
          <w:rFonts w:asciiTheme="minorHAnsi" w:eastAsia="Times New Roman" w:hAnsiTheme="minorHAnsi" w:cs="Times New Roman"/>
        </w:rPr>
        <w:t>Q</w:t>
      </w:r>
      <w:r w:rsidR="00544946" w:rsidRPr="00544946">
        <w:rPr>
          <w:rFonts w:asciiTheme="minorHAnsi" w:eastAsia="Times New Roman" w:hAnsiTheme="minorHAnsi" w:cs="Times New Roman"/>
        </w:rPr>
        <w:t>uestions of whether there should be at least national level data at 2 points as there are likely to be marked differences between 12 and 36 months</w:t>
      </w:r>
      <w:r w:rsidR="00EB4616">
        <w:rPr>
          <w:rFonts w:asciiTheme="minorHAnsi" w:eastAsia="Times New Roman" w:hAnsiTheme="minorHAnsi" w:cs="Times New Roman"/>
        </w:rPr>
        <w:t xml:space="preserve"> – inconclusive as while more data is seen as useful, it has to be paid for</w:t>
      </w:r>
      <w:r w:rsidR="00990475">
        <w:rPr>
          <w:rFonts w:asciiTheme="minorHAnsi" w:eastAsia="Times New Roman" w:hAnsiTheme="minorHAnsi" w:cs="Times New Roman"/>
        </w:rPr>
        <w:t xml:space="preserve"> by someone</w:t>
      </w:r>
      <w:r w:rsidR="00FF3C68">
        <w:rPr>
          <w:rFonts w:asciiTheme="minorHAnsi" w:eastAsia="Times New Roman" w:hAnsiTheme="minorHAnsi" w:cs="Times New Roman"/>
        </w:rPr>
        <w:t>.</w:t>
      </w:r>
    </w:p>
    <w:p w14:paraId="7AF7B63F" w14:textId="7F89100B" w:rsidR="00FF3C68" w:rsidRPr="00544946" w:rsidRDefault="00FF3C68" w:rsidP="00FF3C68">
      <w:pPr>
        <w:contextualSpacing/>
        <w:rPr>
          <w:rFonts w:asciiTheme="minorHAnsi" w:eastAsia="Times New Roman" w:hAnsiTheme="minorHAnsi" w:cs="Times New Roman"/>
        </w:rPr>
      </w:pPr>
    </w:p>
    <w:p w14:paraId="71DCAC6C" w14:textId="1468F59D" w:rsidR="00544946" w:rsidRDefault="00544946" w:rsidP="00544946">
      <w:pPr>
        <w:numPr>
          <w:ilvl w:val="0"/>
          <w:numId w:val="14"/>
        </w:numPr>
        <w:contextualSpacing/>
        <w:rPr>
          <w:rFonts w:asciiTheme="minorHAnsi" w:eastAsia="Times New Roman" w:hAnsiTheme="minorHAnsi" w:cs="Times New Roman"/>
        </w:rPr>
      </w:pPr>
      <w:r w:rsidRPr="00544946">
        <w:rPr>
          <w:rFonts w:asciiTheme="minorHAnsi" w:eastAsia="Times New Roman" w:hAnsiTheme="minorHAnsi" w:cs="Times New Roman"/>
        </w:rPr>
        <w:t>The ‘core’ survey needs to be a census and</w:t>
      </w:r>
      <w:r w:rsidR="00990475">
        <w:rPr>
          <w:rFonts w:asciiTheme="minorHAnsi" w:eastAsia="Times New Roman" w:hAnsiTheme="minorHAnsi" w:cs="Times New Roman"/>
        </w:rPr>
        <w:t xml:space="preserve"> any</w:t>
      </w:r>
      <w:r w:rsidRPr="00544946">
        <w:rPr>
          <w:rFonts w:asciiTheme="minorHAnsi" w:eastAsia="Times New Roman" w:hAnsiTheme="minorHAnsi" w:cs="Times New Roman"/>
        </w:rPr>
        <w:t xml:space="preserve"> later </w:t>
      </w:r>
      <w:r w:rsidR="00AA3419">
        <w:rPr>
          <w:rFonts w:asciiTheme="minorHAnsi" w:eastAsia="Times New Roman" w:hAnsiTheme="minorHAnsi" w:cs="Times New Roman"/>
        </w:rPr>
        <w:t xml:space="preserve">(or earlier) </w:t>
      </w:r>
      <w:r w:rsidRPr="00544946">
        <w:rPr>
          <w:rFonts w:asciiTheme="minorHAnsi" w:eastAsia="Times New Roman" w:hAnsiTheme="minorHAnsi" w:cs="Times New Roman"/>
        </w:rPr>
        <w:t>points can</w:t>
      </w:r>
      <w:r w:rsidR="00277790">
        <w:rPr>
          <w:rFonts w:asciiTheme="minorHAnsi" w:eastAsia="Times New Roman" w:hAnsiTheme="minorHAnsi" w:cs="Times New Roman"/>
        </w:rPr>
        <w:t xml:space="preserve"> perhaps be a sample</w:t>
      </w:r>
      <w:r w:rsidR="00EB4616">
        <w:rPr>
          <w:rFonts w:asciiTheme="minorHAnsi" w:eastAsia="Times New Roman" w:hAnsiTheme="minorHAnsi" w:cs="Times New Roman"/>
        </w:rPr>
        <w:t xml:space="preserve"> survey</w:t>
      </w:r>
      <w:r w:rsidR="00FF3C68">
        <w:rPr>
          <w:rFonts w:asciiTheme="minorHAnsi" w:eastAsia="Times New Roman" w:hAnsiTheme="minorHAnsi" w:cs="Times New Roman"/>
        </w:rPr>
        <w:t xml:space="preserve"> – but there is existing evidence of a need for some data beyond the main census survey (before and after, and with additional questions at the same time) and HESA should consider responding to this demand.</w:t>
      </w:r>
      <w:r w:rsidR="00DA6EAF">
        <w:rPr>
          <w:rFonts w:asciiTheme="minorHAnsi" w:eastAsia="Times New Roman" w:hAnsiTheme="minorHAnsi" w:cs="Times New Roman"/>
        </w:rPr>
        <w:t xml:space="preserve"> There could be a range of surveys that providers can opt in to.</w:t>
      </w:r>
    </w:p>
    <w:p w14:paraId="07B6ECCA" w14:textId="14351B78" w:rsidR="00FF3C68" w:rsidRPr="00544946" w:rsidRDefault="00FF3C68" w:rsidP="00FF3C68">
      <w:pPr>
        <w:contextualSpacing/>
        <w:rPr>
          <w:rFonts w:asciiTheme="minorHAnsi" w:eastAsia="Times New Roman" w:hAnsiTheme="minorHAnsi" w:cs="Times New Roman"/>
        </w:rPr>
      </w:pPr>
    </w:p>
    <w:p w14:paraId="39CFA717" w14:textId="4269BB47" w:rsidR="00544946" w:rsidRDefault="00544946" w:rsidP="00544946">
      <w:pPr>
        <w:numPr>
          <w:ilvl w:val="0"/>
          <w:numId w:val="14"/>
        </w:numPr>
        <w:contextualSpacing/>
        <w:rPr>
          <w:rFonts w:asciiTheme="minorHAnsi" w:eastAsia="Times New Roman" w:hAnsiTheme="minorHAnsi" w:cs="Times New Roman"/>
        </w:rPr>
      </w:pPr>
      <w:r w:rsidRPr="00544946">
        <w:rPr>
          <w:rFonts w:asciiTheme="minorHAnsi" w:eastAsia="Times New Roman" w:hAnsiTheme="minorHAnsi" w:cs="Times New Roman"/>
        </w:rPr>
        <w:t>Discussion around inevitable drop in response rates when moving to a later survey point. It was agreed that drop in re</w:t>
      </w:r>
      <w:r w:rsidR="00277790">
        <w:rPr>
          <w:rFonts w:asciiTheme="minorHAnsi" w:eastAsia="Times New Roman" w:hAnsiTheme="minorHAnsi" w:cs="Times New Roman"/>
        </w:rPr>
        <w:t>sponse rates was the main risk</w:t>
      </w:r>
      <w:r w:rsidR="00EB4616">
        <w:rPr>
          <w:rFonts w:asciiTheme="minorHAnsi" w:eastAsia="Times New Roman" w:hAnsiTheme="minorHAnsi" w:cs="Times New Roman"/>
        </w:rPr>
        <w:t xml:space="preserve"> to moving away from six months</w:t>
      </w:r>
      <w:r w:rsidR="00FF3C68">
        <w:rPr>
          <w:rFonts w:asciiTheme="minorHAnsi" w:eastAsia="Times New Roman" w:hAnsiTheme="minorHAnsi" w:cs="Times New Roman"/>
        </w:rPr>
        <w:t>.</w:t>
      </w:r>
    </w:p>
    <w:p w14:paraId="6D425C38" w14:textId="10903F4E" w:rsidR="00FF3C68" w:rsidRPr="00544946" w:rsidRDefault="00FF3C68" w:rsidP="00FF3C68">
      <w:pPr>
        <w:contextualSpacing/>
        <w:rPr>
          <w:rFonts w:asciiTheme="minorHAnsi" w:eastAsia="Times New Roman" w:hAnsiTheme="minorHAnsi" w:cs="Times New Roman"/>
        </w:rPr>
      </w:pPr>
    </w:p>
    <w:p w14:paraId="6E4A00EF" w14:textId="5B14B0CF" w:rsidR="00544946" w:rsidRDefault="00277790" w:rsidP="00544946">
      <w:pPr>
        <w:numPr>
          <w:ilvl w:val="0"/>
          <w:numId w:val="14"/>
        </w:numPr>
        <w:contextualSpacing/>
        <w:rPr>
          <w:rFonts w:asciiTheme="minorHAnsi" w:eastAsia="Times New Roman" w:hAnsiTheme="minorHAnsi" w:cs="Times New Roman"/>
        </w:rPr>
      </w:pPr>
      <w:r>
        <w:rPr>
          <w:rFonts w:asciiTheme="minorHAnsi" w:eastAsia="Times New Roman" w:hAnsiTheme="minorHAnsi" w:cs="Times New Roman"/>
        </w:rPr>
        <w:t>Time points should be</w:t>
      </w:r>
      <w:r w:rsidR="00544946" w:rsidRPr="00544946">
        <w:rPr>
          <w:rFonts w:asciiTheme="minorHAnsi" w:eastAsia="Times New Roman" w:hAnsiTheme="minorHAnsi" w:cs="Times New Roman"/>
        </w:rPr>
        <w:t xml:space="preserve"> ass</w:t>
      </w:r>
      <w:r>
        <w:rPr>
          <w:rFonts w:asciiTheme="minorHAnsi" w:eastAsia="Times New Roman" w:hAnsiTheme="minorHAnsi" w:cs="Times New Roman"/>
        </w:rPr>
        <w:t>essed to see if they’re working</w:t>
      </w:r>
      <w:r w:rsidR="00FF3C68">
        <w:rPr>
          <w:rFonts w:asciiTheme="minorHAnsi" w:eastAsia="Times New Roman" w:hAnsiTheme="minorHAnsi" w:cs="Times New Roman"/>
        </w:rPr>
        <w:t>.</w:t>
      </w:r>
    </w:p>
    <w:p w14:paraId="43CFE12C" w14:textId="20784D89" w:rsidR="00FF3C68" w:rsidRPr="00544946" w:rsidRDefault="00FF3C68" w:rsidP="00FF3C68">
      <w:pPr>
        <w:contextualSpacing/>
        <w:rPr>
          <w:rFonts w:asciiTheme="minorHAnsi" w:eastAsia="Times New Roman" w:hAnsiTheme="minorHAnsi" w:cs="Times New Roman"/>
        </w:rPr>
      </w:pPr>
    </w:p>
    <w:p w14:paraId="0757A585" w14:textId="021FDC1B" w:rsidR="00FF3C68" w:rsidRPr="00DA6EAF" w:rsidRDefault="00277790" w:rsidP="00DA6EAF">
      <w:pPr>
        <w:numPr>
          <w:ilvl w:val="0"/>
          <w:numId w:val="14"/>
        </w:numPr>
        <w:contextualSpacing/>
        <w:rPr>
          <w:rFonts w:asciiTheme="minorHAnsi" w:eastAsia="Times New Roman" w:hAnsiTheme="minorHAnsi" w:cs="Times New Roman"/>
        </w:rPr>
      </w:pPr>
      <w:r>
        <w:rPr>
          <w:rFonts w:asciiTheme="minorHAnsi" w:eastAsia="Times New Roman" w:hAnsiTheme="minorHAnsi" w:cs="Times New Roman"/>
        </w:rPr>
        <w:t>Data retention (graduate contact details) is important</w:t>
      </w:r>
      <w:r w:rsidR="00FF3C68">
        <w:rPr>
          <w:rFonts w:asciiTheme="minorHAnsi" w:eastAsia="Times New Roman" w:hAnsiTheme="minorHAnsi" w:cs="Times New Roman"/>
        </w:rPr>
        <w:t xml:space="preserve"> and there will need to be appropriate processes in place to ensure drop-off is not too steep. </w:t>
      </w:r>
      <w:r w:rsidR="00FF3C68">
        <w:rPr>
          <w:lang w:val="en-US"/>
        </w:rPr>
        <w:t>Keeping contact details up to date if survey moved out could prove challenging. Will a</w:t>
      </w:r>
      <w:r w:rsidR="00C542E2">
        <w:rPr>
          <w:lang w:val="en-US"/>
        </w:rPr>
        <w:t>n</w:t>
      </w:r>
      <w:r w:rsidR="00FF3C68">
        <w:rPr>
          <w:lang w:val="en-US"/>
        </w:rPr>
        <w:t xml:space="preserve"> 80% response rate targeted be maintained 12/15/18 months on – felt to be unlikely</w:t>
      </w:r>
      <w:r w:rsidR="00DA6EAF">
        <w:rPr>
          <w:lang w:val="en-US"/>
        </w:rPr>
        <w:t>. However, HE providers have multiple o</w:t>
      </w:r>
      <w:r w:rsidR="00DA6EAF">
        <w:rPr>
          <w:rFonts w:eastAsia="Times New Roman"/>
        </w:rPr>
        <w:t xml:space="preserve">ther ways of keeping </w:t>
      </w:r>
      <w:r w:rsidR="00C542E2">
        <w:rPr>
          <w:rFonts w:eastAsia="Times New Roman"/>
        </w:rPr>
        <w:t xml:space="preserve">in </w:t>
      </w:r>
      <w:r w:rsidR="00DA6EAF">
        <w:rPr>
          <w:rFonts w:eastAsia="Times New Roman"/>
        </w:rPr>
        <w:t>contact with their graduates - DLHE is not the only way to retain good quality contact details.</w:t>
      </w:r>
    </w:p>
    <w:p w14:paraId="05D59347" w14:textId="06306E4B" w:rsidR="00FF3C68" w:rsidRPr="00FF3C68" w:rsidRDefault="00FF3C68" w:rsidP="00FF3C68">
      <w:pPr>
        <w:pStyle w:val="ListParagraph"/>
        <w:spacing w:after="0" w:line="240" w:lineRule="auto"/>
        <w:contextualSpacing w:val="0"/>
        <w:rPr>
          <w:lang w:val="en-US"/>
        </w:rPr>
      </w:pPr>
    </w:p>
    <w:p w14:paraId="355F07C4" w14:textId="0CCA8B7B" w:rsidR="00FF3C68" w:rsidRDefault="00544946" w:rsidP="00FF3C68">
      <w:pPr>
        <w:numPr>
          <w:ilvl w:val="0"/>
          <w:numId w:val="14"/>
        </w:numPr>
        <w:spacing w:after="0" w:line="240" w:lineRule="auto"/>
        <w:rPr>
          <w:rFonts w:ascii="Calibri" w:hAnsi="Calibri"/>
          <w:lang w:val="en-US"/>
        </w:rPr>
      </w:pPr>
      <w:r w:rsidRPr="008252DF">
        <w:rPr>
          <w:rFonts w:asciiTheme="minorHAnsi" w:eastAsia="Times New Roman" w:hAnsiTheme="minorHAnsi" w:cs="Times New Roman"/>
        </w:rPr>
        <w:t>For the first year or two of NewDLHE, could we maintain the 6</w:t>
      </w:r>
      <w:r w:rsidR="00C542E2">
        <w:rPr>
          <w:rFonts w:asciiTheme="minorHAnsi" w:eastAsia="Times New Roman" w:hAnsiTheme="minorHAnsi" w:cs="Times New Roman"/>
        </w:rPr>
        <w:t>-</w:t>
      </w:r>
      <w:r w:rsidRPr="008252DF">
        <w:rPr>
          <w:rFonts w:asciiTheme="minorHAnsi" w:eastAsia="Times New Roman" w:hAnsiTheme="minorHAnsi" w:cs="Times New Roman"/>
        </w:rPr>
        <w:t>month survey and use 12/18 months at the same time to e</w:t>
      </w:r>
      <w:r w:rsidR="008252DF">
        <w:rPr>
          <w:rFonts w:asciiTheme="minorHAnsi" w:eastAsia="Times New Roman" w:hAnsiTheme="minorHAnsi" w:cs="Times New Roman"/>
        </w:rPr>
        <w:t>nsure that the latter one works?</w:t>
      </w:r>
      <w:r w:rsidR="00DA6EAF">
        <w:rPr>
          <w:rFonts w:asciiTheme="minorHAnsi" w:eastAsia="Times New Roman" w:hAnsiTheme="minorHAnsi" w:cs="Times New Roman"/>
        </w:rPr>
        <w:t xml:space="preserve"> Could there be an o</w:t>
      </w:r>
      <w:r w:rsidR="00DA6EAF">
        <w:rPr>
          <w:rFonts w:eastAsia="Times New Roman"/>
        </w:rPr>
        <w:t>ptional survey at six months, or a low-cost online-only survey? Asking about main activity only at 6 months could be an option. Or perhaps ask the graduate to give a full</w:t>
      </w:r>
      <w:r w:rsidR="005132BE">
        <w:rPr>
          <w:rFonts w:eastAsia="Times New Roman"/>
        </w:rPr>
        <w:t>er</w:t>
      </w:r>
      <w:r w:rsidR="00DA6EAF">
        <w:rPr>
          <w:rFonts w:eastAsia="Times New Roman"/>
        </w:rPr>
        <w:t xml:space="preserve"> careers history later? Likewise, a follow-up census could potentially be managed as an email-only survey of the full population.</w:t>
      </w:r>
    </w:p>
    <w:p w14:paraId="6F714EDD" w14:textId="69539F9A" w:rsidR="00FF3C68" w:rsidRPr="00FF3C68" w:rsidRDefault="00FF3C68" w:rsidP="00FF3C68">
      <w:pPr>
        <w:spacing w:after="0" w:line="240" w:lineRule="auto"/>
        <w:rPr>
          <w:rFonts w:ascii="Calibri" w:hAnsi="Calibri"/>
          <w:lang w:val="en-US"/>
        </w:rPr>
      </w:pPr>
    </w:p>
    <w:p w14:paraId="024B0848" w14:textId="402F1A59" w:rsidR="00544946" w:rsidRPr="00FF3C68" w:rsidRDefault="00277790" w:rsidP="002610B4">
      <w:pPr>
        <w:numPr>
          <w:ilvl w:val="0"/>
          <w:numId w:val="14"/>
        </w:numPr>
        <w:spacing w:after="0" w:line="240" w:lineRule="auto"/>
        <w:rPr>
          <w:rFonts w:ascii="Calibri" w:hAnsi="Calibri"/>
          <w:lang w:val="en-US"/>
        </w:rPr>
      </w:pPr>
      <w:r>
        <w:rPr>
          <w:lang w:val="en-US"/>
        </w:rPr>
        <w:t>Some support for a “p</w:t>
      </w:r>
      <w:r w:rsidR="00544946" w:rsidRPr="008252DF">
        <w:rPr>
          <w:lang w:val="en-US"/>
        </w:rPr>
        <w:t>oint of exit</w:t>
      </w:r>
      <w:r>
        <w:rPr>
          <w:lang w:val="en-US"/>
        </w:rPr>
        <w:t>”</w:t>
      </w:r>
      <w:r w:rsidR="00FF3C68">
        <w:rPr>
          <w:lang w:val="en-US"/>
        </w:rPr>
        <w:t xml:space="preserve"> survey and another at around 15</w:t>
      </w:r>
      <w:r w:rsidR="00544946" w:rsidRPr="008252DF">
        <w:rPr>
          <w:lang w:val="en-US"/>
        </w:rPr>
        <w:t xml:space="preserve"> month</w:t>
      </w:r>
      <w:r w:rsidR="00FF3C68">
        <w:rPr>
          <w:lang w:val="en-US"/>
        </w:rPr>
        <w:t>s.</w:t>
      </w:r>
    </w:p>
    <w:p w14:paraId="6A1299A1" w14:textId="2EE17920" w:rsidR="00FF3C68" w:rsidRPr="008252DF" w:rsidRDefault="00FF3C68" w:rsidP="00FF3C68">
      <w:pPr>
        <w:spacing w:after="0" w:line="240" w:lineRule="auto"/>
        <w:rPr>
          <w:rFonts w:ascii="Calibri" w:hAnsi="Calibri"/>
          <w:lang w:val="en-US"/>
        </w:rPr>
      </w:pPr>
    </w:p>
    <w:p w14:paraId="13895CDE" w14:textId="59B89993" w:rsidR="00544946" w:rsidRDefault="00544946" w:rsidP="00544946">
      <w:pPr>
        <w:pStyle w:val="ListParagraph"/>
        <w:numPr>
          <w:ilvl w:val="0"/>
          <w:numId w:val="14"/>
        </w:numPr>
        <w:spacing w:after="0" w:line="240" w:lineRule="auto"/>
        <w:contextualSpacing w:val="0"/>
        <w:rPr>
          <w:lang w:val="en-US"/>
        </w:rPr>
      </w:pPr>
      <w:r>
        <w:rPr>
          <w:lang w:val="en-US"/>
        </w:rPr>
        <w:t>Censu</w:t>
      </w:r>
      <w:r w:rsidR="00277790">
        <w:rPr>
          <w:lang w:val="en-US"/>
        </w:rPr>
        <w:t xml:space="preserve">s </w:t>
      </w:r>
      <w:r w:rsidR="00277790" w:rsidRPr="00277790">
        <w:rPr>
          <w:i/>
          <w:lang w:val="en-US"/>
        </w:rPr>
        <w:t>period</w:t>
      </w:r>
      <w:r w:rsidR="00277790">
        <w:rPr>
          <w:lang w:val="en-US"/>
        </w:rPr>
        <w:t xml:space="preserve"> instead of census </w:t>
      </w:r>
      <w:r w:rsidR="00277790" w:rsidRPr="00277790">
        <w:rPr>
          <w:i/>
          <w:lang w:val="en-US"/>
        </w:rPr>
        <w:t>date</w:t>
      </w:r>
      <w:r w:rsidR="00277790">
        <w:rPr>
          <w:lang w:val="en-US"/>
        </w:rPr>
        <w:t xml:space="preserve"> might be advantageous</w:t>
      </w:r>
      <w:r w:rsidR="00FF3C68">
        <w:rPr>
          <w:lang w:val="en-US"/>
        </w:rPr>
        <w:t>.</w:t>
      </w:r>
    </w:p>
    <w:p w14:paraId="19E88FA5" w14:textId="2EFFF143" w:rsidR="00FF3C68" w:rsidRPr="00FF3C68" w:rsidRDefault="00FF3C68" w:rsidP="00FF3C68">
      <w:pPr>
        <w:spacing w:after="0" w:line="240" w:lineRule="auto"/>
        <w:rPr>
          <w:lang w:val="en-US"/>
        </w:rPr>
      </w:pPr>
    </w:p>
    <w:p w14:paraId="5AB46945" w14:textId="5384F7C4" w:rsidR="00FF3C68" w:rsidRPr="00FF3C68" w:rsidRDefault="00544946" w:rsidP="00FF3C68">
      <w:pPr>
        <w:pStyle w:val="ListParagraph"/>
        <w:numPr>
          <w:ilvl w:val="0"/>
          <w:numId w:val="14"/>
        </w:numPr>
        <w:spacing w:after="0" w:line="240" w:lineRule="auto"/>
        <w:contextualSpacing w:val="0"/>
        <w:rPr>
          <w:lang w:val="en-US"/>
        </w:rPr>
      </w:pPr>
      <w:r>
        <w:rPr>
          <w:lang w:val="en-US"/>
        </w:rPr>
        <w:t xml:space="preserve">If moved from 6 months, then </w:t>
      </w:r>
      <w:r w:rsidR="00277790">
        <w:rPr>
          <w:lang w:val="en-US"/>
        </w:rPr>
        <w:t>no real continuity with past – both an advantage and a disadvantage</w:t>
      </w:r>
      <w:r w:rsidR="00FF3C68">
        <w:rPr>
          <w:lang w:val="en-US"/>
        </w:rPr>
        <w:t>. Discussion of the pragmatic reasons why</w:t>
      </w:r>
      <w:r w:rsidR="00FF3C68" w:rsidRPr="00FF3C68">
        <w:rPr>
          <w:lang w:val="en-US"/>
        </w:rPr>
        <w:t xml:space="preserve"> 6 months census date </w:t>
      </w:r>
      <w:r w:rsidR="00FF3C68">
        <w:rPr>
          <w:lang w:val="en-US"/>
        </w:rPr>
        <w:t>was originally established. There is no ‘best’ time to survey: the choice of any timescale has impacts both positive and negative.</w:t>
      </w:r>
    </w:p>
    <w:p w14:paraId="37CC4512" w14:textId="1BF3EC4C" w:rsidR="00FF3C68" w:rsidRPr="00FF3C68" w:rsidRDefault="00FF3C68" w:rsidP="00FF3C68">
      <w:pPr>
        <w:spacing w:after="0" w:line="240" w:lineRule="auto"/>
        <w:rPr>
          <w:lang w:val="en-US"/>
        </w:rPr>
      </w:pPr>
    </w:p>
    <w:p w14:paraId="6D5A9856" w14:textId="550D9A26" w:rsidR="00544946" w:rsidRDefault="00544946" w:rsidP="00544946">
      <w:pPr>
        <w:pStyle w:val="ListParagraph"/>
        <w:numPr>
          <w:ilvl w:val="0"/>
          <w:numId w:val="14"/>
        </w:numPr>
        <w:spacing w:after="0" w:line="240" w:lineRule="auto"/>
        <w:contextualSpacing w:val="0"/>
        <w:rPr>
          <w:lang w:val="en-US"/>
        </w:rPr>
      </w:pPr>
      <w:r>
        <w:rPr>
          <w:lang w:val="en-US"/>
        </w:rPr>
        <w:t>Cost an issue (multip</w:t>
      </w:r>
      <w:r w:rsidR="00277790">
        <w:rPr>
          <w:lang w:val="en-US"/>
        </w:rPr>
        <w:t>le surveys)</w:t>
      </w:r>
      <w:r w:rsidR="00FF3C68">
        <w:rPr>
          <w:lang w:val="en-US"/>
        </w:rPr>
        <w:t xml:space="preserve"> and there would have to be an appropriate financial model.</w:t>
      </w:r>
    </w:p>
    <w:p w14:paraId="05DF945A" w14:textId="7A426D48" w:rsidR="00FF3C68" w:rsidRPr="00FF3C68" w:rsidRDefault="00FF3C68" w:rsidP="00FF3C68">
      <w:pPr>
        <w:spacing w:after="0" w:line="240" w:lineRule="auto"/>
        <w:rPr>
          <w:lang w:val="en-US"/>
        </w:rPr>
      </w:pPr>
    </w:p>
    <w:p w14:paraId="47930437" w14:textId="67160D15" w:rsidR="00544946" w:rsidRDefault="00277790" w:rsidP="00544946">
      <w:pPr>
        <w:pStyle w:val="ListParagraph"/>
        <w:numPr>
          <w:ilvl w:val="0"/>
          <w:numId w:val="14"/>
        </w:numPr>
        <w:spacing w:after="0" w:line="240" w:lineRule="auto"/>
        <w:contextualSpacing w:val="0"/>
        <w:rPr>
          <w:lang w:val="en-US"/>
        </w:rPr>
      </w:pPr>
      <w:r>
        <w:rPr>
          <w:lang w:val="en-US"/>
        </w:rPr>
        <w:t xml:space="preserve">Survey fatigue </w:t>
      </w:r>
      <w:r w:rsidR="00FF3C68">
        <w:rPr>
          <w:lang w:val="en-US"/>
        </w:rPr>
        <w:t xml:space="preserve">is </w:t>
      </w:r>
      <w:r>
        <w:rPr>
          <w:lang w:val="en-US"/>
        </w:rPr>
        <w:t>an issue</w:t>
      </w:r>
      <w:r w:rsidR="00FF3C68">
        <w:rPr>
          <w:lang w:val="en-US"/>
        </w:rPr>
        <w:t xml:space="preserve"> – there would need to be strong controls to prevent oversurveying if more than one survey point is used.</w:t>
      </w:r>
    </w:p>
    <w:p w14:paraId="32FE4095" w14:textId="68E0E4F5" w:rsidR="00FF3C68" w:rsidRPr="00FF3C68" w:rsidRDefault="00FF3C68" w:rsidP="00FF3C68">
      <w:pPr>
        <w:spacing w:after="0" w:line="240" w:lineRule="auto"/>
        <w:rPr>
          <w:lang w:val="en-US"/>
        </w:rPr>
      </w:pPr>
    </w:p>
    <w:p w14:paraId="1CFBE7EB" w14:textId="1EE73504" w:rsidR="00544946" w:rsidRDefault="00544946" w:rsidP="00544946">
      <w:pPr>
        <w:pStyle w:val="ListParagraph"/>
        <w:numPr>
          <w:ilvl w:val="0"/>
          <w:numId w:val="14"/>
        </w:numPr>
        <w:spacing w:after="0" w:line="240" w:lineRule="auto"/>
        <w:contextualSpacing w:val="0"/>
        <w:rPr>
          <w:lang w:val="en-US"/>
        </w:rPr>
      </w:pPr>
      <w:r>
        <w:rPr>
          <w:lang w:val="en-US"/>
        </w:rPr>
        <w:t>Ne</w:t>
      </w:r>
      <w:r w:rsidR="00277790">
        <w:rPr>
          <w:lang w:val="en-US"/>
        </w:rPr>
        <w:t>wDLHE implementation time frame – needs to be clarified</w:t>
      </w:r>
      <w:r w:rsidR="00FF3C68">
        <w:rPr>
          <w:lang w:val="en-US"/>
        </w:rPr>
        <w:t>, especially if a large procurement exercise is required.</w:t>
      </w:r>
    </w:p>
    <w:p w14:paraId="26E9969F" w14:textId="60325D2E" w:rsidR="00FF3C68" w:rsidRPr="00FF3C68" w:rsidRDefault="00FF3C68" w:rsidP="00FF3C68">
      <w:pPr>
        <w:spacing w:after="0" w:line="240" w:lineRule="auto"/>
        <w:rPr>
          <w:lang w:val="en-US"/>
        </w:rPr>
      </w:pPr>
    </w:p>
    <w:p w14:paraId="25A6D2C0" w14:textId="4A516C0D" w:rsidR="00FF3C68" w:rsidRDefault="00544946" w:rsidP="00FF3C68">
      <w:pPr>
        <w:pStyle w:val="ListParagraph"/>
        <w:numPr>
          <w:ilvl w:val="0"/>
          <w:numId w:val="14"/>
        </w:numPr>
        <w:spacing w:after="0" w:line="240" w:lineRule="auto"/>
        <w:contextualSpacing w:val="0"/>
        <w:rPr>
          <w:lang w:val="en-US"/>
        </w:rPr>
      </w:pPr>
      <w:r>
        <w:rPr>
          <w:lang w:val="en-US"/>
        </w:rPr>
        <w:t>Smaller survey, with simpler response results, with extra questions optional/if necessary?</w:t>
      </w:r>
    </w:p>
    <w:p w14:paraId="30AAFB9A" w14:textId="5160B025" w:rsidR="00FF3C68" w:rsidRPr="00FF3C68" w:rsidRDefault="00FF3C68" w:rsidP="00FF3C68">
      <w:pPr>
        <w:spacing w:after="0" w:line="240" w:lineRule="auto"/>
        <w:rPr>
          <w:lang w:val="en-US"/>
        </w:rPr>
      </w:pPr>
    </w:p>
    <w:p w14:paraId="3E807962" w14:textId="77EBE6D9" w:rsidR="00544946" w:rsidRPr="00DA6EAF" w:rsidRDefault="00544946" w:rsidP="00544946">
      <w:pPr>
        <w:numPr>
          <w:ilvl w:val="0"/>
          <w:numId w:val="14"/>
        </w:numPr>
        <w:contextualSpacing/>
        <w:rPr>
          <w:rFonts w:asciiTheme="minorHAnsi" w:eastAsia="Times New Roman" w:hAnsiTheme="minorHAnsi" w:cs="Times New Roman"/>
        </w:rPr>
      </w:pPr>
      <w:r>
        <w:rPr>
          <w:rFonts w:eastAsia="Times New Roman"/>
        </w:rPr>
        <w:t xml:space="preserve">More meaningful engagement </w:t>
      </w:r>
      <w:r w:rsidR="00FF3C68">
        <w:rPr>
          <w:rFonts w:eastAsia="Times New Roman"/>
        </w:rPr>
        <w:t>would be made possible by surveying</w:t>
      </w:r>
      <w:r>
        <w:rPr>
          <w:rFonts w:eastAsia="Times New Roman"/>
        </w:rPr>
        <w:t xml:space="preserve"> later - graduates </w:t>
      </w:r>
      <w:r w:rsidR="00277790">
        <w:rPr>
          <w:rFonts w:eastAsia="Times New Roman"/>
        </w:rPr>
        <w:t xml:space="preserve">who have not yet found a settled place </w:t>
      </w:r>
      <w:r w:rsidR="00DA6EAF">
        <w:rPr>
          <w:rFonts w:eastAsia="Times New Roman"/>
        </w:rPr>
        <w:t>within six months often will have by 12-18 months – there is therefore a higher likelihood of a productive engagement. If the graduate is surveyed sooner than the likely point at which sustained employment (or something else) has been obtained, there is a risk that they are made to feel like a failure, unfairly, when this may simply be the normal/expected pattern for their subject/location/etc.</w:t>
      </w:r>
    </w:p>
    <w:p w14:paraId="03F06DF0" w14:textId="6B2974AD" w:rsidR="00544946" w:rsidRPr="00544946" w:rsidRDefault="00544946" w:rsidP="00DA6EAF">
      <w:pPr>
        <w:contextualSpacing/>
        <w:rPr>
          <w:rFonts w:asciiTheme="minorHAnsi" w:eastAsia="Times New Roman" w:hAnsiTheme="minorHAnsi" w:cs="Times New Roman"/>
        </w:rPr>
      </w:pPr>
    </w:p>
    <w:p w14:paraId="402F7409" w14:textId="79C49315" w:rsidR="00544946" w:rsidRPr="00DA6EAF" w:rsidRDefault="00DA6EAF" w:rsidP="00544946">
      <w:pPr>
        <w:numPr>
          <w:ilvl w:val="0"/>
          <w:numId w:val="14"/>
        </w:numPr>
        <w:contextualSpacing/>
        <w:rPr>
          <w:rFonts w:asciiTheme="minorHAnsi" w:eastAsia="Times New Roman" w:hAnsiTheme="minorHAnsi" w:cs="Times New Roman"/>
        </w:rPr>
      </w:pPr>
      <w:r>
        <w:rPr>
          <w:rFonts w:eastAsia="Times New Roman"/>
        </w:rPr>
        <w:t>Care should be taken to establish a process for handling opt-outs, and ensuring the graduate’s wishes are respected.</w:t>
      </w:r>
    </w:p>
    <w:p w14:paraId="7BCD66A7" w14:textId="325E3238" w:rsidR="008252DF" w:rsidRPr="00DA6EAF" w:rsidRDefault="008252DF" w:rsidP="008252DF">
      <w:pPr>
        <w:contextualSpacing/>
        <w:rPr>
          <w:rFonts w:asciiTheme="minorHAnsi" w:eastAsia="Times New Roman" w:hAnsiTheme="minorHAnsi" w:cs="Times New Roman"/>
        </w:rPr>
      </w:pPr>
    </w:p>
    <w:p w14:paraId="7672BEB6" w14:textId="4B7DA765" w:rsidR="008252DF" w:rsidRPr="00544946" w:rsidRDefault="008252DF" w:rsidP="008252DF">
      <w:pPr>
        <w:contextualSpacing/>
        <w:rPr>
          <w:rFonts w:asciiTheme="minorHAnsi" w:eastAsia="Times New Roman" w:hAnsiTheme="minorHAnsi" w:cs="Times New Roman"/>
        </w:rPr>
      </w:pPr>
      <w:r>
        <w:rPr>
          <w:rFonts w:eastAsia="Times New Roman"/>
        </w:rPr>
        <w:t>Summarising</w:t>
      </w:r>
      <w:r w:rsidR="00277790">
        <w:rPr>
          <w:rFonts w:eastAsia="Times New Roman"/>
        </w:rPr>
        <w:t xml:space="preserve"> the discussion, DC </w:t>
      </w:r>
      <w:r w:rsidR="00DA6EAF">
        <w:rPr>
          <w:rFonts w:eastAsia="Times New Roman"/>
        </w:rPr>
        <w:t xml:space="preserve">indicated that the task for the Working Group was to help address the issues involved in running a </w:t>
      </w:r>
      <w:r w:rsidR="00763FB8">
        <w:rPr>
          <w:rFonts w:eastAsia="Times New Roman"/>
        </w:rPr>
        <w:t xml:space="preserve">single </w:t>
      </w:r>
      <w:r w:rsidR="00DA6EAF">
        <w:rPr>
          <w:rFonts w:eastAsia="Times New Roman"/>
        </w:rPr>
        <w:t>census survey of all graduates at 12-18 months</w:t>
      </w:r>
      <w:r w:rsidR="00763FB8">
        <w:rPr>
          <w:rFonts w:eastAsia="Times New Roman"/>
        </w:rPr>
        <w:t xml:space="preserve">, </w:t>
      </w:r>
      <w:r w:rsidR="00763FB8">
        <w:rPr>
          <w:rFonts w:eastAsia="Times New Roman"/>
        </w:rPr>
        <w:lastRenderedPageBreak/>
        <w:t>and additionally, to consider developing a mechanism for handling additional sample or cohort surveying beyond a single census.</w:t>
      </w:r>
    </w:p>
    <w:p w14:paraId="77D7491D" w14:textId="2F00F576" w:rsidR="00ED37F6" w:rsidRDefault="007F5D01" w:rsidP="00441EA0">
      <w:pPr>
        <w:pStyle w:val="Body-text"/>
        <w:numPr>
          <w:ilvl w:val="0"/>
          <w:numId w:val="2"/>
        </w:numPr>
        <w:tabs>
          <w:tab w:val="right" w:pos="9456"/>
        </w:tabs>
        <w:ind w:left="360"/>
        <w:rPr>
          <w:b/>
        </w:rPr>
      </w:pPr>
      <w:r w:rsidRPr="008252DF">
        <w:rPr>
          <w:b/>
        </w:rPr>
        <w:t>Next steps</w:t>
      </w:r>
    </w:p>
    <w:p w14:paraId="52D56A3C" w14:textId="0BA406C6" w:rsidR="00EB4616" w:rsidRPr="00EB4616" w:rsidRDefault="00EB4616" w:rsidP="00EB4616">
      <w:pPr>
        <w:pStyle w:val="Body-text"/>
        <w:tabs>
          <w:tab w:val="right" w:pos="9456"/>
        </w:tabs>
      </w:pPr>
      <w:r w:rsidRPr="00EB4616">
        <w:t>DC requested permission to publish the notes from the group, and this was agreed.</w:t>
      </w:r>
    </w:p>
    <w:p w14:paraId="4D90612A" w14:textId="77777777" w:rsidR="00EB4616" w:rsidRPr="008252DF" w:rsidRDefault="00EB4616" w:rsidP="00EB4616">
      <w:pPr>
        <w:pStyle w:val="Body-text"/>
        <w:tabs>
          <w:tab w:val="right" w:pos="9456"/>
        </w:tabs>
        <w:rPr>
          <w:b/>
        </w:rPr>
      </w:pPr>
    </w:p>
    <w:p w14:paraId="53DFFF07" w14:textId="63373D49" w:rsidR="00467F10" w:rsidRPr="00B224D2" w:rsidRDefault="003E5711" w:rsidP="00763FB8">
      <w:pPr>
        <w:pStyle w:val="Body-text"/>
        <w:tabs>
          <w:tab w:val="right" w:pos="9456"/>
        </w:tabs>
      </w:pPr>
      <w:r>
        <w:t>DC informed the group that the working group would be meeting on 24/25 October, with the second consultation</w:t>
      </w:r>
      <w:r w:rsidR="00EB4616">
        <w:t xml:space="preserve"> to be</w:t>
      </w:r>
      <w:r>
        <w:t xml:space="preserve"> released before Christmas. </w:t>
      </w:r>
    </w:p>
    <w:sectPr w:rsidR="00467F10" w:rsidRPr="00B224D2" w:rsidSect="000D4D40">
      <w:footerReference w:type="default" r:id="rId11"/>
      <w:headerReference w:type="first" r:id="rId12"/>
      <w:footerReference w:type="first" r:id="rId13"/>
      <w:pgSz w:w="11906" w:h="16838" w:code="9"/>
      <w:pgMar w:top="2381" w:right="1225" w:bottom="1701" w:left="1225"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A89CE" w14:textId="77777777" w:rsidR="00D128BF" w:rsidRDefault="00D128BF" w:rsidP="002256A3">
      <w:pPr>
        <w:spacing w:after="0" w:line="240" w:lineRule="auto"/>
      </w:pPr>
      <w:r>
        <w:separator/>
      </w:r>
    </w:p>
  </w:endnote>
  <w:endnote w:type="continuationSeparator" w:id="0">
    <w:p w14:paraId="37837E8A" w14:textId="77777777" w:rsidR="00D128BF" w:rsidRDefault="00D128BF" w:rsidP="002256A3">
      <w:pPr>
        <w:spacing w:after="0" w:line="240" w:lineRule="auto"/>
      </w:pPr>
      <w:r>
        <w:continuationSeparator/>
      </w:r>
    </w:p>
  </w:endnote>
  <w:endnote w:type="continuationNotice" w:id="1">
    <w:p w14:paraId="0B57DEF6" w14:textId="77777777" w:rsidR="003D3B9D" w:rsidRDefault="003D3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Effra-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F105DB" w14:paraId="180797CE" w14:textId="77777777" w:rsidTr="00CF3ACB">
      <w:trPr>
        <w:trHeight w:val="340"/>
      </w:trPr>
      <w:tc>
        <w:tcPr>
          <w:tcW w:w="7938" w:type="dxa"/>
        </w:tcPr>
        <w:p w14:paraId="0336F232" w14:textId="77777777" w:rsidR="00F105DB" w:rsidRDefault="00BA3077" w:rsidP="00BA3077">
          <w:pPr>
            <w:pStyle w:val="Body-text"/>
            <w:rPr>
              <w:noProof/>
              <w:lang w:eastAsia="en-GB"/>
            </w:rPr>
          </w:pPr>
          <w:r>
            <w:rPr>
              <w:noProof/>
              <w:lang w:eastAsia="en-GB"/>
            </w:rPr>
            <w:drawing>
              <wp:inline distT="0" distB="0" distL="0" distR="0" wp14:anchorId="00F72C02" wp14:editId="255FF34A">
                <wp:extent cx="1483200" cy="72000"/>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83200" cy="72000"/>
                        </a:xfrm>
                        <a:prstGeom prst="rect">
                          <a:avLst/>
                        </a:prstGeom>
                      </pic:spPr>
                    </pic:pic>
                  </a:graphicData>
                </a:graphic>
              </wp:inline>
            </w:drawing>
          </w:r>
        </w:p>
      </w:tc>
      <w:tc>
        <w:tcPr>
          <w:tcW w:w="2024" w:type="dxa"/>
          <w:tcMar>
            <w:left w:w="0" w:type="dxa"/>
            <w:right w:w="0" w:type="dxa"/>
          </w:tcMar>
        </w:tcPr>
        <w:p w14:paraId="6DF62C1F" w14:textId="77777777" w:rsidR="00F105DB" w:rsidRPr="002256A3" w:rsidRDefault="00F105DB" w:rsidP="00265129">
          <w:pPr>
            <w:pStyle w:val="Body-text"/>
          </w:pPr>
        </w:p>
      </w:tc>
    </w:tr>
    <w:tr w:rsidR="00F105DB" w14:paraId="03A9F9B5" w14:textId="77777777" w:rsidTr="00CF3ACB">
      <w:tc>
        <w:tcPr>
          <w:tcW w:w="7938" w:type="dxa"/>
          <w:vAlign w:val="bottom"/>
        </w:tcPr>
        <w:p w14:paraId="76576BA9" w14:textId="77777777" w:rsidR="00F105DB" w:rsidRPr="004F3C0F" w:rsidRDefault="004F3C0F" w:rsidP="004F3C0F">
          <w:pPr>
            <w:rPr>
              <w:rFonts w:cs="Arial"/>
              <w:sz w:val="12"/>
              <w:szCs w:val="12"/>
            </w:rPr>
          </w:pPr>
          <w:r w:rsidRPr="004B5AEC">
            <w:rPr>
              <w:rFonts w:cs="Arial"/>
              <w:sz w:val="12"/>
              <w:szCs w:val="12"/>
            </w:rPr>
            <w:t xml:space="preserve">Higher Education Statistics Agency </w:t>
          </w:r>
          <w:r>
            <w:rPr>
              <w:rFonts w:cs="Arial"/>
              <w:sz w:val="12"/>
              <w:szCs w:val="12"/>
            </w:rPr>
            <w:t>Limited</w:t>
          </w:r>
          <w:r w:rsidRPr="004B5AEC">
            <w:rPr>
              <w:rFonts w:cs="Arial"/>
              <w:sz w:val="12"/>
              <w:szCs w:val="12"/>
            </w:rPr>
            <w:t xml:space="preserve"> is a company limited by guarantee, registered in England at 95 Promenade, Chelt</w:t>
          </w:r>
          <w:r>
            <w:rPr>
              <w:rFonts w:cs="Arial"/>
              <w:sz w:val="12"/>
              <w:szCs w:val="12"/>
            </w:rPr>
            <w:t>enham, GL50 1HZ. Registered No. 0</w:t>
          </w:r>
          <w:r w:rsidRPr="004B5AEC">
            <w:rPr>
              <w:rFonts w:cs="Arial"/>
              <w:sz w:val="12"/>
              <w:szCs w:val="12"/>
            </w:rPr>
            <w:t>2766993. Registered Charity No. 1039709. Certified to ISO 27001. The members are Universities UK and GuildHE.</w:t>
          </w:r>
        </w:p>
      </w:tc>
      <w:tc>
        <w:tcPr>
          <w:tcW w:w="2024" w:type="dxa"/>
          <w:tcMar>
            <w:left w:w="0" w:type="dxa"/>
            <w:right w:w="0" w:type="dxa"/>
          </w:tcMar>
        </w:tcPr>
        <w:sdt>
          <w:sdtPr>
            <w:id w:val="1120736126"/>
            <w:docPartObj>
              <w:docPartGallery w:val="Page Numbers (Top of Page)"/>
              <w:docPartUnique/>
            </w:docPartObj>
          </w:sdtPr>
          <w:sdtEndPr/>
          <w:sdtContent>
            <w:p w14:paraId="12CA2A95" w14:textId="33091AAC" w:rsidR="009C2BE9" w:rsidRDefault="009C2BE9" w:rsidP="004F3C0F">
              <w:pPr>
                <w:pStyle w:val="Footnote"/>
                <w:jc w:val="right"/>
              </w:pPr>
              <w:r>
                <w:t xml:space="preserve">Page </w:t>
              </w:r>
              <w:r>
                <w:fldChar w:fldCharType="begin"/>
              </w:r>
              <w:r>
                <w:instrText xml:space="preserve"> PAGE </w:instrText>
              </w:r>
              <w:r>
                <w:fldChar w:fldCharType="separate"/>
              </w:r>
              <w:r w:rsidR="000B6E3F">
                <w:rPr>
                  <w:noProof/>
                </w:rPr>
                <w:t>3</w:t>
              </w:r>
              <w:r>
                <w:fldChar w:fldCharType="end"/>
              </w:r>
              <w:r>
                <w:t xml:space="preserve"> of </w:t>
              </w:r>
              <w:fldSimple w:instr=" NUMPAGES  ">
                <w:r w:rsidR="000B6E3F">
                  <w:rPr>
                    <w:noProof/>
                  </w:rPr>
                  <w:t>7</w:t>
                </w:r>
              </w:fldSimple>
            </w:p>
            <w:p w14:paraId="70D05717" w14:textId="77777777" w:rsidR="00F105DB" w:rsidRDefault="000B6E3F" w:rsidP="004F3C0F">
              <w:pPr>
                <w:pStyle w:val="Footnote"/>
                <w:jc w:val="right"/>
              </w:pPr>
            </w:p>
          </w:sdtContent>
        </w:sdt>
      </w:tc>
    </w:tr>
    <w:tr w:rsidR="00511CC6" w14:paraId="042EE7DF" w14:textId="77777777" w:rsidTr="00E42464">
      <w:tc>
        <w:tcPr>
          <w:tcW w:w="9962" w:type="dxa"/>
          <w:gridSpan w:val="2"/>
          <w:vAlign w:val="bottom"/>
        </w:tcPr>
        <w:p w14:paraId="2ADD3B0B" w14:textId="77777777" w:rsidR="00511CC6" w:rsidRDefault="000B6E3F" w:rsidP="004F3C0F">
          <w:pPr>
            <w:pStyle w:val="Footnote"/>
            <w:jc w:val="right"/>
          </w:pPr>
          <w:r>
            <w:fldChar w:fldCharType="begin"/>
          </w:r>
          <w:r>
            <w:instrText xml:space="preserve"> FILENAME  \* FirstCap  \* MERGEFORMAT </w:instrText>
          </w:r>
          <w:r>
            <w:fldChar w:fldCharType="separate"/>
          </w:r>
          <w:r w:rsidR="00D128BF">
            <w:rPr>
              <w:noProof/>
            </w:rPr>
            <w:t>Document1</w:t>
          </w:r>
          <w:r>
            <w:rPr>
              <w:noProof/>
            </w:rPr>
            <w:fldChar w:fldCharType="end"/>
          </w:r>
        </w:p>
      </w:tc>
    </w:tr>
  </w:tbl>
  <w:p w14:paraId="16820572" w14:textId="77777777" w:rsidR="002256A3" w:rsidRPr="00265129" w:rsidRDefault="002256A3" w:rsidP="002651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7A3A84" w:rsidRPr="002256A3" w14:paraId="19CBFD1D" w14:textId="77777777" w:rsidTr="00CF3ACB">
      <w:trPr>
        <w:trHeight w:val="340"/>
      </w:trPr>
      <w:tc>
        <w:tcPr>
          <w:tcW w:w="7938" w:type="dxa"/>
        </w:tcPr>
        <w:p w14:paraId="1281EAD3" w14:textId="77777777" w:rsidR="007A3A84" w:rsidRDefault="007A3A84" w:rsidP="007A3A84">
          <w:pPr>
            <w:pStyle w:val="Body-text"/>
            <w:rPr>
              <w:noProof/>
              <w:lang w:eastAsia="en-GB"/>
            </w:rPr>
          </w:pPr>
          <w:r>
            <w:rPr>
              <w:noProof/>
              <w:lang w:eastAsia="en-GB"/>
            </w:rPr>
            <w:drawing>
              <wp:inline distT="0" distB="0" distL="0" distR="0" wp14:anchorId="5631BCAC" wp14:editId="4D1FF278">
                <wp:extent cx="1483200" cy="72000"/>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83200" cy="72000"/>
                        </a:xfrm>
                        <a:prstGeom prst="rect">
                          <a:avLst/>
                        </a:prstGeom>
                      </pic:spPr>
                    </pic:pic>
                  </a:graphicData>
                </a:graphic>
              </wp:inline>
            </w:drawing>
          </w:r>
        </w:p>
      </w:tc>
      <w:tc>
        <w:tcPr>
          <w:tcW w:w="2024" w:type="dxa"/>
          <w:tcMar>
            <w:left w:w="0" w:type="dxa"/>
            <w:right w:w="0" w:type="dxa"/>
          </w:tcMar>
        </w:tcPr>
        <w:p w14:paraId="1D1A6CC8" w14:textId="77777777" w:rsidR="007A3A84" w:rsidRPr="002256A3" w:rsidRDefault="007A3A84" w:rsidP="007A3A84">
          <w:pPr>
            <w:pStyle w:val="Body-text"/>
          </w:pPr>
        </w:p>
      </w:tc>
    </w:tr>
    <w:tr w:rsidR="007A3A84" w14:paraId="3F5E0FC6" w14:textId="77777777" w:rsidTr="00CF3ACB">
      <w:tc>
        <w:tcPr>
          <w:tcW w:w="7938" w:type="dxa"/>
          <w:vAlign w:val="bottom"/>
        </w:tcPr>
        <w:p w14:paraId="41BA0DD0" w14:textId="77777777" w:rsidR="007A3A84" w:rsidRPr="004F3C0F" w:rsidRDefault="007A3A84" w:rsidP="007A3A84">
          <w:pPr>
            <w:rPr>
              <w:rFonts w:cs="Arial"/>
              <w:sz w:val="12"/>
              <w:szCs w:val="12"/>
            </w:rPr>
          </w:pPr>
          <w:r w:rsidRPr="004B5AEC">
            <w:rPr>
              <w:rFonts w:cs="Arial"/>
              <w:sz w:val="12"/>
              <w:szCs w:val="12"/>
            </w:rPr>
            <w:t xml:space="preserve">Higher Education Statistics Agency </w:t>
          </w:r>
          <w:r>
            <w:rPr>
              <w:rFonts w:cs="Arial"/>
              <w:sz w:val="12"/>
              <w:szCs w:val="12"/>
            </w:rPr>
            <w:t>Limited</w:t>
          </w:r>
          <w:r w:rsidRPr="004B5AEC">
            <w:rPr>
              <w:rFonts w:cs="Arial"/>
              <w:sz w:val="12"/>
              <w:szCs w:val="12"/>
            </w:rPr>
            <w:t xml:space="preserve"> is a company limited by guarantee, registered in England at 95 Promenade, Chelt</w:t>
          </w:r>
          <w:r>
            <w:rPr>
              <w:rFonts w:cs="Arial"/>
              <w:sz w:val="12"/>
              <w:szCs w:val="12"/>
            </w:rPr>
            <w:t>enham, GL50 1HZ. Registered No. 0</w:t>
          </w:r>
          <w:r w:rsidRPr="004B5AEC">
            <w:rPr>
              <w:rFonts w:cs="Arial"/>
              <w:sz w:val="12"/>
              <w:szCs w:val="12"/>
            </w:rPr>
            <w:t>2766993. Registered Charity No. 1039709. Certified to ISO 27001. The members are Universities UK and GuildHE.</w:t>
          </w:r>
        </w:p>
      </w:tc>
      <w:tc>
        <w:tcPr>
          <w:tcW w:w="2024" w:type="dxa"/>
          <w:tcMar>
            <w:left w:w="0" w:type="dxa"/>
            <w:right w:w="0" w:type="dxa"/>
          </w:tcMar>
        </w:tcPr>
        <w:sdt>
          <w:sdtPr>
            <w:id w:val="-139185191"/>
            <w:docPartObj>
              <w:docPartGallery w:val="Page Numbers (Top of Page)"/>
              <w:docPartUnique/>
            </w:docPartObj>
          </w:sdtPr>
          <w:sdtEndPr/>
          <w:sdtContent>
            <w:p w14:paraId="19B0BAF5" w14:textId="00C4DF0D" w:rsidR="007A3A84" w:rsidRDefault="007A3A84" w:rsidP="007A3A84">
              <w:pPr>
                <w:pStyle w:val="Footnote"/>
                <w:jc w:val="right"/>
              </w:pPr>
              <w:r>
                <w:t xml:space="preserve">Page </w:t>
              </w:r>
              <w:r>
                <w:fldChar w:fldCharType="begin"/>
              </w:r>
              <w:r>
                <w:instrText xml:space="preserve"> PAGE </w:instrText>
              </w:r>
              <w:r>
                <w:fldChar w:fldCharType="separate"/>
              </w:r>
              <w:r w:rsidR="000B6E3F">
                <w:rPr>
                  <w:noProof/>
                </w:rPr>
                <w:t>1</w:t>
              </w:r>
              <w:r>
                <w:fldChar w:fldCharType="end"/>
              </w:r>
              <w:r>
                <w:t xml:space="preserve"> of </w:t>
              </w:r>
              <w:fldSimple w:instr=" NUMPAGES  ">
                <w:r w:rsidR="000B6E3F">
                  <w:rPr>
                    <w:noProof/>
                  </w:rPr>
                  <w:t>7</w:t>
                </w:r>
              </w:fldSimple>
            </w:p>
            <w:p w14:paraId="2C010D0A" w14:textId="77777777" w:rsidR="007A3A84" w:rsidRDefault="000B6E3F" w:rsidP="007A3A84">
              <w:pPr>
                <w:pStyle w:val="Footnote"/>
                <w:jc w:val="right"/>
              </w:pPr>
            </w:p>
          </w:sdtContent>
        </w:sdt>
      </w:tc>
    </w:tr>
    <w:tr w:rsidR="00511CC6" w14:paraId="2DB47ED1" w14:textId="77777777" w:rsidTr="009A293D">
      <w:tc>
        <w:tcPr>
          <w:tcW w:w="9962" w:type="dxa"/>
          <w:gridSpan w:val="2"/>
          <w:vAlign w:val="bottom"/>
        </w:tcPr>
        <w:p w14:paraId="1690024A" w14:textId="77777777" w:rsidR="00511CC6" w:rsidRDefault="000B6E3F" w:rsidP="007A3A84">
          <w:pPr>
            <w:pStyle w:val="Footnote"/>
            <w:jc w:val="right"/>
          </w:pPr>
          <w:r>
            <w:fldChar w:fldCharType="begin"/>
          </w:r>
          <w:r>
            <w:instrText xml:space="preserve"> FILENAME  \* FirstCap  \* MERGEFORMAT </w:instrText>
          </w:r>
          <w:r>
            <w:fldChar w:fldCharType="separate"/>
          </w:r>
          <w:r w:rsidR="00D128BF">
            <w:rPr>
              <w:noProof/>
            </w:rPr>
            <w:t>Document1</w:t>
          </w:r>
          <w:r>
            <w:rPr>
              <w:noProof/>
            </w:rPr>
            <w:fldChar w:fldCharType="end"/>
          </w:r>
        </w:p>
      </w:tc>
    </w:tr>
  </w:tbl>
  <w:p w14:paraId="0071D8AB" w14:textId="77777777" w:rsidR="007A3A84" w:rsidRDefault="007A3A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966C7" w14:textId="77777777" w:rsidR="00D128BF" w:rsidRDefault="00D128BF" w:rsidP="002256A3">
      <w:pPr>
        <w:spacing w:after="0" w:line="240" w:lineRule="auto"/>
      </w:pPr>
      <w:r>
        <w:separator/>
      </w:r>
    </w:p>
  </w:footnote>
  <w:footnote w:type="continuationSeparator" w:id="0">
    <w:p w14:paraId="69AA3EDE" w14:textId="77777777" w:rsidR="00D128BF" w:rsidRDefault="00D128BF" w:rsidP="002256A3">
      <w:pPr>
        <w:spacing w:after="0" w:line="240" w:lineRule="auto"/>
      </w:pPr>
      <w:r>
        <w:continuationSeparator/>
      </w:r>
    </w:p>
  </w:footnote>
  <w:footnote w:type="continuationNotice" w:id="1">
    <w:p w14:paraId="40ED56EE" w14:textId="77777777" w:rsidR="003D3B9D" w:rsidRDefault="003D3B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F2EC" w14:textId="77777777" w:rsidR="004F3C0F" w:rsidRDefault="00894B0C">
    <w:r>
      <w:rPr>
        <w:noProof/>
        <w:lang w:eastAsia="en-GB"/>
      </w:rPr>
      <w:drawing>
        <wp:anchor distT="0" distB="0" distL="114300" distR="114300" simplePos="0" relativeHeight="251658240" behindDoc="0" locked="1" layoutInCell="1" allowOverlap="0" wp14:anchorId="6D0517F3" wp14:editId="7774C836">
          <wp:simplePos x="0" y="0"/>
          <wp:positionH relativeFrom="margin">
            <wp:align>right</wp:align>
          </wp:positionH>
          <wp:positionV relativeFrom="page">
            <wp:posOffset>540385</wp:posOffset>
          </wp:positionV>
          <wp:extent cx="1476000" cy="58320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A_Logo.png"/>
                  <pic:cNvPicPr/>
                </pic:nvPicPr>
                <pic:blipFill>
                  <a:blip r:embed="rId1">
                    <a:extLst>
                      <a:ext uri="{28A0092B-C50C-407E-A947-70E740481C1C}">
                        <a14:useLocalDpi xmlns:a14="http://schemas.microsoft.com/office/drawing/2010/main" val="0"/>
                      </a:ext>
                    </a:extLst>
                  </a:blip>
                  <a:stretch>
                    <a:fillRect/>
                  </a:stretch>
                </pic:blipFill>
                <pic:spPr>
                  <a:xfrm>
                    <a:off x="0" y="0"/>
                    <a:ext cx="14760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5142"/>
    <w:multiLevelType w:val="hybridMultilevel"/>
    <w:tmpl w:val="C53415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EE0C7F"/>
    <w:multiLevelType w:val="hybridMultilevel"/>
    <w:tmpl w:val="7B6407E6"/>
    <w:lvl w:ilvl="0" w:tplc="45B22A2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1921F0"/>
    <w:multiLevelType w:val="hybridMultilevel"/>
    <w:tmpl w:val="5F0CC2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7A28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154A7A"/>
    <w:multiLevelType w:val="hybridMultilevel"/>
    <w:tmpl w:val="DF8C98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F806F96"/>
    <w:multiLevelType w:val="hybridMultilevel"/>
    <w:tmpl w:val="357E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C52A1"/>
    <w:multiLevelType w:val="hybridMultilevel"/>
    <w:tmpl w:val="6E18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854C8"/>
    <w:multiLevelType w:val="hybridMultilevel"/>
    <w:tmpl w:val="512ED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A40E5"/>
    <w:multiLevelType w:val="hybridMultilevel"/>
    <w:tmpl w:val="C6401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F82F4F"/>
    <w:multiLevelType w:val="hybridMultilevel"/>
    <w:tmpl w:val="D0840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3D62B4"/>
    <w:multiLevelType w:val="hybridMultilevel"/>
    <w:tmpl w:val="8364295C"/>
    <w:lvl w:ilvl="0" w:tplc="91C0DDB8">
      <w:start w:val="1"/>
      <w:numFmt w:val="decimal"/>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E75B3"/>
    <w:multiLevelType w:val="hybridMultilevel"/>
    <w:tmpl w:val="284C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95E38"/>
    <w:multiLevelType w:val="hybridMultilevel"/>
    <w:tmpl w:val="E82471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65900AB"/>
    <w:multiLevelType w:val="hybridMultilevel"/>
    <w:tmpl w:val="B748C7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30262"/>
    <w:multiLevelType w:val="hybridMultilevel"/>
    <w:tmpl w:val="5D9C84C6"/>
    <w:lvl w:ilvl="0" w:tplc="0809000F">
      <w:start w:val="1"/>
      <w:numFmt w:val="decimal"/>
      <w:lvlText w:val="%1."/>
      <w:lvlJc w:val="left"/>
      <w:pPr>
        <w:ind w:left="5747" w:hanging="360"/>
      </w:pPr>
      <w:rPr>
        <w:rFonts w:hint="default"/>
      </w:rPr>
    </w:lvl>
    <w:lvl w:ilvl="1" w:tplc="08090019" w:tentative="1">
      <w:start w:val="1"/>
      <w:numFmt w:val="lowerLetter"/>
      <w:lvlText w:val="%2."/>
      <w:lvlJc w:val="left"/>
      <w:pPr>
        <w:ind w:left="6467" w:hanging="360"/>
      </w:pPr>
    </w:lvl>
    <w:lvl w:ilvl="2" w:tplc="0809001B" w:tentative="1">
      <w:start w:val="1"/>
      <w:numFmt w:val="lowerRoman"/>
      <w:lvlText w:val="%3."/>
      <w:lvlJc w:val="right"/>
      <w:pPr>
        <w:ind w:left="7187" w:hanging="180"/>
      </w:pPr>
    </w:lvl>
    <w:lvl w:ilvl="3" w:tplc="0809000F" w:tentative="1">
      <w:start w:val="1"/>
      <w:numFmt w:val="decimal"/>
      <w:lvlText w:val="%4."/>
      <w:lvlJc w:val="left"/>
      <w:pPr>
        <w:ind w:left="7907" w:hanging="360"/>
      </w:pPr>
    </w:lvl>
    <w:lvl w:ilvl="4" w:tplc="08090019" w:tentative="1">
      <w:start w:val="1"/>
      <w:numFmt w:val="lowerLetter"/>
      <w:lvlText w:val="%5."/>
      <w:lvlJc w:val="left"/>
      <w:pPr>
        <w:ind w:left="8627" w:hanging="360"/>
      </w:pPr>
    </w:lvl>
    <w:lvl w:ilvl="5" w:tplc="0809001B" w:tentative="1">
      <w:start w:val="1"/>
      <w:numFmt w:val="lowerRoman"/>
      <w:lvlText w:val="%6."/>
      <w:lvlJc w:val="right"/>
      <w:pPr>
        <w:ind w:left="9347" w:hanging="180"/>
      </w:pPr>
    </w:lvl>
    <w:lvl w:ilvl="6" w:tplc="0809000F" w:tentative="1">
      <w:start w:val="1"/>
      <w:numFmt w:val="decimal"/>
      <w:lvlText w:val="%7."/>
      <w:lvlJc w:val="left"/>
      <w:pPr>
        <w:ind w:left="10067" w:hanging="360"/>
      </w:pPr>
    </w:lvl>
    <w:lvl w:ilvl="7" w:tplc="08090019" w:tentative="1">
      <w:start w:val="1"/>
      <w:numFmt w:val="lowerLetter"/>
      <w:lvlText w:val="%8."/>
      <w:lvlJc w:val="left"/>
      <w:pPr>
        <w:ind w:left="10787" w:hanging="360"/>
      </w:pPr>
    </w:lvl>
    <w:lvl w:ilvl="8" w:tplc="0809001B" w:tentative="1">
      <w:start w:val="1"/>
      <w:numFmt w:val="lowerRoman"/>
      <w:lvlText w:val="%9."/>
      <w:lvlJc w:val="right"/>
      <w:pPr>
        <w:ind w:left="11507" w:hanging="180"/>
      </w:pPr>
    </w:lvl>
  </w:abstractNum>
  <w:num w:numId="1">
    <w:abstractNumId w:val="2"/>
  </w:num>
  <w:num w:numId="2">
    <w:abstractNumId w:val="14"/>
  </w:num>
  <w:num w:numId="3">
    <w:abstractNumId w:val="8"/>
  </w:num>
  <w:num w:numId="4">
    <w:abstractNumId w:val="7"/>
  </w:num>
  <w:num w:numId="5">
    <w:abstractNumId w:val="9"/>
  </w:num>
  <w:num w:numId="6">
    <w:abstractNumId w:val="3"/>
  </w:num>
  <w:num w:numId="7">
    <w:abstractNumId w:val="13"/>
  </w:num>
  <w:num w:numId="8">
    <w:abstractNumId w:val="12"/>
  </w:num>
  <w:num w:numId="9">
    <w:abstractNumId w:val="4"/>
  </w:num>
  <w:num w:numId="10">
    <w:abstractNumId w:val="6"/>
  </w:num>
  <w:num w:numId="11">
    <w:abstractNumId w:val="10"/>
  </w:num>
  <w:num w:numId="12">
    <w:abstractNumId w:val="0"/>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BF"/>
    <w:rsid w:val="00022E1A"/>
    <w:rsid w:val="000730A6"/>
    <w:rsid w:val="000B6E3F"/>
    <w:rsid w:val="000C10F1"/>
    <w:rsid w:val="000D4D40"/>
    <w:rsid w:val="00106018"/>
    <w:rsid w:val="00163CAF"/>
    <w:rsid w:val="0017193E"/>
    <w:rsid w:val="001871D4"/>
    <w:rsid w:val="00192304"/>
    <w:rsid w:val="001946B4"/>
    <w:rsid w:val="001A094A"/>
    <w:rsid w:val="001B4F29"/>
    <w:rsid w:val="001C412B"/>
    <w:rsid w:val="002256A3"/>
    <w:rsid w:val="002611C2"/>
    <w:rsid w:val="00265129"/>
    <w:rsid w:val="00277790"/>
    <w:rsid w:val="00282CFC"/>
    <w:rsid w:val="00291C2E"/>
    <w:rsid w:val="002E336F"/>
    <w:rsid w:val="0030130C"/>
    <w:rsid w:val="0032028E"/>
    <w:rsid w:val="00334793"/>
    <w:rsid w:val="003D3B9D"/>
    <w:rsid w:val="003E5711"/>
    <w:rsid w:val="003F352C"/>
    <w:rsid w:val="00403D4A"/>
    <w:rsid w:val="00412F5F"/>
    <w:rsid w:val="00441EA0"/>
    <w:rsid w:val="00463606"/>
    <w:rsid w:val="00467F10"/>
    <w:rsid w:val="00475EAC"/>
    <w:rsid w:val="00482F67"/>
    <w:rsid w:val="0048787A"/>
    <w:rsid w:val="004F3C0F"/>
    <w:rsid w:val="00511CC6"/>
    <w:rsid w:val="005132BE"/>
    <w:rsid w:val="00516174"/>
    <w:rsid w:val="00544946"/>
    <w:rsid w:val="005809D2"/>
    <w:rsid w:val="00581E33"/>
    <w:rsid w:val="00585642"/>
    <w:rsid w:val="005F6046"/>
    <w:rsid w:val="006060CB"/>
    <w:rsid w:val="0064043A"/>
    <w:rsid w:val="00644FE1"/>
    <w:rsid w:val="00654475"/>
    <w:rsid w:val="00694904"/>
    <w:rsid w:val="006A6182"/>
    <w:rsid w:val="006A7BB6"/>
    <w:rsid w:val="006D0CFF"/>
    <w:rsid w:val="007141E3"/>
    <w:rsid w:val="00720D86"/>
    <w:rsid w:val="00741E7B"/>
    <w:rsid w:val="00745C92"/>
    <w:rsid w:val="00763FB8"/>
    <w:rsid w:val="007A3A84"/>
    <w:rsid w:val="007F5D01"/>
    <w:rsid w:val="00807BF1"/>
    <w:rsid w:val="008173F7"/>
    <w:rsid w:val="008252DF"/>
    <w:rsid w:val="00867993"/>
    <w:rsid w:val="00894B0C"/>
    <w:rsid w:val="008A043B"/>
    <w:rsid w:val="008B2219"/>
    <w:rsid w:val="008C7166"/>
    <w:rsid w:val="008D09DD"/>
    <w:rsid w:val="00922A3A"/>
    <w:rsid w:val="00951B87"/>
    <w:rsid w:val="00990475"/>
    <w:rsid w:val="009A0718"/>
    <w:rsid w:val="009C2BE9"/>
    <w:rsid w:val="00A17BB8"/>
    <w:rsid w:val="00A34F7F"/>
    <w:rsid w:val="00A95C74"/>
    <w:rsid w:val="00AA3419"/>
    <w:rsid w:val="00AD20E5"/>
    <w:rsid w:val="00AD2A27"/>
    <w:rsid w:val="00AD2D9A"/>
    <w:rsid w:val="00AE4039"/>
    <w:rsid w:val="00B20E51"/>
    <w:rsid w:val="00B224D2"/>
    <w:rsid w:val="00BA3077"/>
    <w:rsid w:val="00BA4350"/>
    <w:rsid w:val="00BA45FC"/>
    <w:rsid w:val="00BB0E2E"/>
    <w:rsid w:val="00BC5116"/>
    <w:rsid w:val="00BD6F8F"/>
    <w:rsid w:val="00BF3CEE"/>
    <w:rsid w:val="00C13364"/>
    <w:rsid w:val="00C179FD"/>
    <w:rsid w:val="00C542E2"/>
    <w:rsid w:val="00C562E3"/>
    <w:rsid w:val="00C56363"/>
    <w:rsid w:val="00C64BBE"/>
    <w:rsid w:val="00C90097"/>
    <w:rsid w:val="00CA2CF9"/>
    <w:rsid w:val="00CD056A"/>
    <w:rsid w:val="00CF3ACB"/>
    <w:rsid w:val="00D128BF"/>
    <w:rsid w:val="00D46C5D"/>
    <w:rsid w:val="00D52207"/>
    <w:rsid w:val="00D91169"/>
    <w:rsid w:val="00D94B02"/>
    <w:rsid w:val="00D97D06"/>
    <w:rsid w:val="00DA4040"/>
    <w:rsid w:val="00DA6EAF"/>
    <w:rsid w:val="00DB046F"/>
    <w:rsid w:val="00E00700"/>
    <w:rsid w:val="00E67A3A"/>
    <w:rsid w:val="00E77B91"/>
    <w:rsid w:val="00E84FBA"/>
    <w:rsid w:val="00EB4616"/>
    <w:rsid w:val="00EB6CF9"/>
    <w:rsid w:val="00ED37F6"/>
    <w:rsid w:val="00F001B7"/>
    <w:rsid w:val="00F105DB"/>
    <w:rsid w:val="00F300E4"/>
    <w:rsid w:val="00F356DA"/>
    <w:rsid w:val="00FA1C87"/>
    <w:rsid w:val="00FE5921"/>
    <w:rsid w:val="00FF3199"/>
    <w:rsid w:val="00FF3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D94C14"/>
  <w15:chartTrackingRefBased/>
  <w15:docId w15:val="{0A916439-A878-4556-ADE7-8120E036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AD2D9A"/>
    <w:rPr>
      <w:rFonts w:ascii="Arial" w:hAnsi="Arial"/>
    </w:rPr>
  </w:style>
  <w:style w:type="paragraph" w:styleId="Heading1">
    <w:name w:val="heading 1"/>
    <w:basedOn w:val="Normal"/>
    <w:next w:val="Normal"/>
    <w:link w:val="Heading1Char"/>
    <w:uiPriority w:val="9"/>
    <w:qFormat/>
    <w:rsid w:val="00894B0C"/>
    <w:pPr>
      <w:keepNext/>
      <w:keepLines/>
      <w:spacing w:after="0" w:line="240" w:lineRule="auto"/>
      <w:outlineLvl w:val="0"/>
    </w:pPr>
    <w:rPr>
      <w:rFonts w:ascii="Arial Bold" w:eastAsiaTheme="majorEastAsia" w:hAnsi="Arial Bold" w:cstheme="majorBidi"/>
      <w:b/>
      <w:caps/>
      <w:color w:val="6A86B8"/>
      <w:szCs w:val="32"/>
    </w:rPr>
  </w:style>
  <w:style w:type="paragraph" w:styleId="Heading2">
    <w:name w:val="heading 2"/>
    <w:basedOn w:val="Normal"/>
    <w:next w:val="Normal"/>
    <w:link w:val="Heading2Char"/>
    <w:uiPriority w:val="9"/>
    <w:unhideWhenUsed/>
    <w:qFormat/>
    <w:rsid w:val="00894B0C"/>
    <w:pPr>
      <w:keepNext/>
      <w:keepLines/>
      <w:spacing w:after="0" w:line="240" w:lineRule="auto"/>
      <w:outlineLvl w:val="1"/>
    </w:pPr>
    <w:rPr>
      <w:rFonts w:eastAsiaTheme="majorEastAsia" w:cstheme="majorBidi"/>
      <w:caps/>
      <w:color w:val="6A86B8"/>
      <w:szCs w:val="26"/>
    </w:rPr>
  </w:style>
  <w:style w:type="paragraph" w:styleId="Heading3">
    <w:name w:val="heading 3"/>
    <w:basedOn w:val="Normal"/>
    <w:next w:val="Normal"/>
    <w:link w:val="Heading3Char"/>
    <w:uiPriority w:val="9"/>
    <w:unhideWhenUsed/>
    <w:rsid w:val="00AD2D9A"/>
    <w:pPr>
      <w:keepNext/>
      <w:keepLines/>
      <w:spacing w:before="40" w:after="0"/>
      <w:outlineLvl w:val="2"/>
    </w:pPr>
    <w:rPr>
      <w:rFonts w:eastAsiaTheme="majorEastAsia" w:cstheme="majorBidi"/>
      <w:caps/>
      <w:color w:val="6A86B8" w:themeColor="accent1"/>
      <w:szCs w:val="24"/>
    </w:rPr>
  </w:style>
  <w:style w:type="paragraph" w:styleId="Heading4">
    <w:name w:val="heading 4"/>
    <w:basedOn w:val="Normal"/>
    <w:next w:val="Normal"/>
    <w:link w:val="Heading4Char"/>
    <w:uiPriority w:val="9"/>
    <w:unhideWhenUsed/>
    <w:rsid w:val="00DB046F"/>
    <w:pPr>
      <w:keepNext/>
      <w:keepLines/>
      <w:spacing w:before="40" w:after="0"/>
      <w:outlineLvl w:val="3"/>
    </w:pPr>
    <w:rPr>
      <w:rFonts w:asciiTheme="majorHAnsi" w:eastAsiaTheme="majorEastAsia" w:hAnsiTheme="majorHAnsi" w:cstheme="majorBidi"/>
      <w:i/>
      <w:iCs/>
      <w:color w:val="466192" w:themeColor="accent1" w:themeShade="BF"/>
    </w:rPr>
  </w:style>
  <w:style w:type="paragraph" w:styleId="Heading5">
    <w:name w:val="heading 5"/>
    <w:basedOn w:val="Normal"/>
    <w:next w:val="Normal"/>
    <w:link w:val="Heading5Char"/>
    <w:uiPriority w:val="9"/>
    <w:unhideWhenUsed/>
    <w:rsid w:val="00DB046F"/>
    <w:pPr>
      <w:keepNext/>
      <w:keepLines/>
      <w:spacing w:before="40" w:after="0"/>
      <w:outlineLvl w:val="4"/>
    </w:pPr>
    <w:rPr>
      <w:rFonts w:asciiTheme="majorHAnsi" w:eastAsiaTheme="majorEastAsia" w:hAnsiTheme="majorHAnsi" w:cstheme="majorBidi"/>
      <w:color w:val="466192" w:themeColor="accent1" w:themeShade="BF"/>
    </w:rPr>
  </w:style>
  <w:style w:type="paragraph" w:styleId="Heading6">
    <w:name w:val="heading 6"/>
    <w:basedOn w:val="Normal"/>
    <w:next w:val="Normal"/>
    <w:link w:val="Heading6Char"/>
    <w:uiPriority w:val="9"/>
    <w:unhideWhenUsed/>
    <w:rsid w:val="00DB046F"/>
    <w:pPr>
      <w:keepNext/>
      <w:keepLines/>
      <w:spacing w:before="40" w:after="0"/>
      <w:outlineLvl w:val="5"/>
    </w:pPr>
    <w:rPr>
      <w:rFonts w:asciiTheme="majorHAnsi" w:eastAsiaTheme="majorEastAsia" w:hAnsiTheme="majorHAnsi" w:cstheme="majorBidi"/>
      <w:color w:val="2E4061" w:themeColor="accent1" w:themeShade="7F"/>
    </w:rPr>
  </w:style>
  <w:style w:type="paragraph" w:styleId="Heading7">
    <w:name w:val="heading 7"/>
    <w:basedOn w:val="Normal"/>
    <w:next w:val="Normal"/>
    <w:link w:val="Heading7Char"/>
    <w:uiPriority w:val="9"/>
    <w:unhideWhenUsed/>
    <w:rsid w:val="00DB046F"/>
    <w:pPr>
      <w:keepNext/>
      <w:keepLines/>
      <w:spacing w:before="40" w:after="0"/>
      <w:outlineLvl w:val="6"/>
    </w:pPr>
    <w:rPr>
      <w:rFonts w:asciiTheme="majorHAnsi" w:eastAsiaTheme="majorEastAsia" w:hAnsiTheme="majorHAnsi" w:cstheme="majorBidi"/>
      <w:i/>
      <w:iCs/>
      <w:color w:val="2E4061" w:themeColor="accent1" w:themeShade="7F"/>
    </w:rPr>
  </w:style>
  <w:style w:type="paragraph" w:styleId="Heading8">
    <w:name w:val="heading 8"/>
    <w:basedOn w:val="Normal"/>
    <w:next w:val="Normal"/>
    <w:link w:val="Heading8Char"/>
    <w:uiPriority w:val="9"/>
    <w:unhideWhenUsed/>
    <w:rsid w:val="00DB04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DB04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B224D2"/>
    <w:pPr>
      <w:spacing w:after="0" w:line="240" w:lineRule="auto"/>
    </w:pPr>
  </w:style>
  <w:style w:type="paragraph" w:customStyle="1" w:styleId="Body-TextBodytext">
    <w:name w:val="Body-Text (Body text)"/>
    <w:basedOn w:val="Normal"/>
    <w:uiPriority w:val="99"/>
    <w:rsid w:val="002256A3"/>
    <w:pPr>
      <w:suppressAutoHyphens/>
      <w:autoSpaceDE w:val="0"/>
      <w:autoSpaceDN w:val="0"/>
      <w:adjustRightInd w:val="0"/>
      <w:spacing w:after="227" w:line="260" w:lineRule="atLeast"/>
      <w:textAlignment w:val="center"/>
    </w:pPr>
    <w:rPr>
      <w:rFonts w:ascii="Calibri" w:hAnsi="Calibri" w:cs="Calibri"/>
      <w:color w:val="000000"/>
    </w:rPr>
  </w:style>
  <w:style w:type="paragraph" w:customStyle="1" w:styleId="Body-text-space-after">
    <w:name w:val="Body-text-space-after"/>
    <w:basedOn w:val="Body-text"/>
    <w:rsid w:val="00E84FBA"/>
    <w:pPr>
      <w:spacing w:after="454"/>
    </w:pPr>
  </w:style>
  <w:style w:type="table" w:styleId="TableGrid">
    <w:name w:val="Table Grid"/>
    <w:basedOn w:val="TableNormal"/>
    <w:uiPriority w:val="39"/>
    <w:rsid w:val="0022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6512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Address-text">
    <w:name w:val="Address-text"/>
    <w:basedOn w:val="Body-text"/>
    <w:rsid w:val="00265129"/>
    <w:pPr>
      <w:spacing w:after="85" w:line="200" w:lineRule="exact"/>
    </w:pPr>
  </w:style>
  <w:style w:type="paragraph" w:customStyle="1" w:styleId="Contact-info">
    <w:name w:val="Contact-info"/>
    <w:rsid w:val="00265129"/>
    <w:pPr>
      <w:spacing w:line="200" w:lineRule="exact"/>
      <w:ind w:left="255" w:hanging="255"/>
    </w:pPr>
    <w:rPr>
      <w:rFonts w:ascii="Arial" w:hAnsi="Arial"/>
      <w:sz w:val="18"/>
    </w:rPr>
  </w:style>
  <w:style w:type="character" w:customStyle="1" w:styleId="Bold">
    <w:name w:val="Bold"/>
    <w:basedOn w:val="DefaultParagraphFont"/>
    <w:uiPriority w:val="1"/>
    <w:qFormat/>
    <w:rsid w:val="00265129"/>
    <w:rPr>
      <w:rFonts w:ascii="Arial Bold" w:hAnsi="Arial Bold" w:cs="Effra-Regular"/>
      <w:b/>
      <w:i w:val="0"/>
    </w:rPr>
  </w:style>
  <w:style w:type="character" w:customStyle="1" w:styleId="Heading1Char">
    <w:name w:val="Heading 1 Char"/>
    <w:basedOn w:val="DefaultParagraphFont"/>
    <w:link w:val="Heading1"/>
    <w:uiPriority w:val="9"/>
    <w:rsid w:val="00894B0C"/>
    <w:rPr>
      <w:rFonts w:ascii="Arial Bold" w:eastAsiaTheme="majorEastAsia" w:hAnsi="Arial Bold" w:cstheme="majorBidi"/>
      <w:b/>
      <w:caps/>
      <w:color w:val="6A86B8"/>
      <w:szCs w:val="32"/>
    </w:rPr>
  </w:style>
  <w:style w:type="paragraph" w:styleId="BalloonText">
    <w:name w:val="Balloon Text"/>
    <w:basedOn w:val="Normal"/>
    <w:link w:val="BalloonTextChar"/>
    <w:uiPriority w:val="99"/>
    <w:semiHidden/>
    <w:unhideWhenUsed/>
    <w:rsid w:val="008B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19"/>
    <w:rPr>
      <w:rFonts w:ascii="Segoe UI" w:hAnsi="Segoe UI" w:cs="Segoe UI"/>
      <w:sz w:val="18"/>
      <w:szCs w:val="18"/>
    </w:rPr>
  </w:style>
  <w:style w:type="paragraph" w:customStyle="1" w:styleId="Footnote">
    <w:name w:val="Footnote"/>
    <w:basedOn w:val="Body-text"/>
    <w:rsid w:val="00745C92"/>
    <w:pPr>
      <w:spacing w:line="160" w:lineRule="exact"/>
    </w:pPr>
    <w:rPr>
      <w:spacing w:val="-4"/>
      <w:sz w:val="12"/>
    </w:rPr>
  </w:style>
  <w:style w:type="character" w:customStyle="1" w:styleId="Heading2Char">
    <w:name w:val="Heading 2 Char"/>
    <w:basedOn w:val="DefaultParagraphFont"/>
    <w:link w:val="Heading2"/>
    <w:uiPriority w:val="9"/>
    <w:rsid w:val="00894B0C"/>
    <w:rPr>
      <w:rFonts w:ascii="Arial" w:eastAsiaTheme="majorEastAsia" w:hAnsi="Arial" w:cstheme="majorBidi"/>
      <w:caps/>
      <w:color w:val="6A86B8"/>
      <w:szCs w:val="26"/>
    </w:rPr>
  </w:style>
  <w:style w:type="paragraph" w:styleId="Title">
    <w:name w:val="Title"/>
    <w:basedOn w:val="Normal"/>
    <w:next w:val="Normal"/>
    <w:link w:val="TitleChar"/>
    <w:uiPriority w:val="10"/>
    <w:qFormat/>
    <w:rsid w:val="00FF319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3199"/>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AD2D9A"/>
    <w:rPr>
      <w:rFonts w:ascii="Arial" w:eastAsiaTheme="majorEastAsia" w:hAnsi="Arial" w:cstheme="majorBidi"/>
      <w:caps/>
      <w:color w:val="6A86B8" w:themeColor="accent1"/>
      <w:szCs w:val="24"/>
    </w:rPr>
  </w:style>
  <w:style w:type="character" w:customStyle="1" w:styleId="Heading4Char">
    <w:name w:val="Heading 4 Char"/>
    <w:basedOn w:val="DefaultParagraphFont"/>
    <w:link w:val="Heading4"/>
    <w:uiPriority w:val="9"/>
    <w:rsid w:val="00DB046F"/>
    <w:rPr>
      <w:rFonts w:asciiTheme="majorHAnsi" w:eastAsiaTheme="majorEastAsia" w:hAnsiTheme="majorHAnsi" w:cstheme="majorBidi"/>
      <w:i/>
      <w:iCs/>
      <w:color w:val="466192" w:themeColor="accent1" w:themeShade="BF"/>
    </w:rPr>
  </w:style>
  <w:style w:type="character" w:customStyle="1" w:styleId="Heading5Char">
    <w:name w:val="Heading 5 Char"/>
    <w:basedOn w:val="DefaultParagraphFont"/>
    <w:link w:val="Heading5"/>
    <w:uiPriority w:val="9"/>
    <w:rsid w:val="00DB046F"/>
    <w:rPr>
      <w:rFonts w:asciiTheme="majorHAnsi" w:eastAsiaTheme="majorEastAsia" w:hAnsiTheme="majorHAnsi" w:cstheme="majorBidi"/>
      <w:color w:val="466192" w:themeColor="accent1" w:themeShade="BF"/>
    </w:rPr>
  </w:style>
  <w:style w:type="character" w:customStyle="1" w:styleId="Heading6Char">
    <w:name w:val="Heading 6 Char"/>
    <w:basedOn w:val="DefaultParagraphFont"/>
    <w:link w:val="Heading6"/>
    <w:uiPriority w:val="9"/>
    <w:rsid w:val="00DB046F"/>
    <w:rPr>
      <w:rFonts w:asciiTheme="majorHAnsi" w:eastAsiaTheme="majorEastAsia" w:hAnsiTheme="majorHAnsi" w:cstheme="majorBidi"/>
      <w:color w:val="2E4061" w:themeColor="accent1" w:themeShade="7F"/>
    </w:rPr>
  </w:style>
  <w:style w:type="character" w:customStyle="1" w:styleId="Heading7Char">
    <w:name w:val="Heading 7 Char"/>
    <w:basedOn w:val="DefaultParagraphFont"/>
    <w:link w:val="Heading7"/>
    <w:uiPriority w:val="9"/>
    <w:rsid w:val="00DB046F"/>
    <w:rPr>
      <w:rFonts w:asciiTheme="majorHAnsi" w:eastAsiaTheme="majorEastAsia" w:hAnsiTheme="majorHAnsi" w:cstheme="majorBidi"/>
      <w:i/>
      <w:iCs/>
      <w:color w:val="2E4061" w:themeColor="accent1" w:themeShade="7F"/>
    </w:rPr>
  </w:style>
  <w:style w:type="character" w:customStyle="1" w:styleId="Heading8Char">
    <w:name w:val="Heading 8 Char"/>
    <w:basedOn w:val="DefaultParagraphFont"/>
    <w:link w:val="Heading8"/>
    <w:uiPriority w:val="9"/>
    <w:rsid w:val="00DB0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04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141E3"/>
    <w:pPr>
      <w:spacing w:after="200" w:line="240" w:lineRule="auto"/>
    </w:pPr>
    <w:rPr>
      <w:i/>
      <w:iCs/>
      <w:sz w:val="18"/>
      <w:szCs w:val="18"/>
    </w:rPr>
  </w:style>
  <w:style w:type="paragraph" w:styleId="ListParagraph">
    <w:name w:val="List Paragraph"/>
    <w:basedOn w:val="Normal"/>
    <w:uiPriority w:val="34"/>
    <w:qFormat/>
    <w:rsid w:val="00894B0C"/>
    <w:pPr>
      <w:ind w:left="720"/>
      <w:contextualSpacing/>
    </w:pPr>
  </w:style>
  <w:style w:type="character" w:styleId="Hyperlink">
    <w:name w:val="Hyperlink"/>
    <w:basedOn w:val="DefaultParagraphFont"/>
    <w:uiPriority w:val="99"/>
    <w:unhideWhenUsed/>
    <w:qFormat/>
    <w:rsid w:val="00AD2D9A"/>
    <w:rPr>
      <w:rFonts w:ascii="Arial" w:hAnsi="Arial"/>
      <w:color w:val="6A86B8" w:themeColor="accent1"/>
      <w:sz w:val="22"/>
      <w:u w:val="single"/>
    </w:rPr>
  </w:style>
  <w:style w:type="character" w:styleId="FollowedHyperlink">
    <w:name w:val="FollowedHyperlink"/>
    <w:basedOn w:val="DefaultParagraphFont"/>
    <w:uiPriority w:val="99"/>
    <w:semiHidden/>
    <w:unhideWhenUsed/>
    <w:rsid w:val="00AD2D9A"/>
    <w:rPr>
      <w:rFonts w:ascii="Arial" w:hAnsi="Arial"/>
      <w:color w:val="6A86B8" w:themeColor="accent1"/>
      <w:sz w:val="22"/>
      <w:u w:val="single"/>
    </w:rPr>
  </w:style>
  <w:style w:type="paragraph" w:styleId="Header">
    <w:name w:val="header"/>
    <w:basedOn w:val="Normal"/>
    <w:link w:val="HeaderChar"/>
    <w:uiPriority w:val="99"/>
    <w:unhideWhenUsed/>
    <w:rsid w:val="00511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CC6"/>
    <w:rPr>
      <w:rFonts w:ascii="Arial" w:hAnsi="Arial"/>
    </w:rPr>
  </w:style>
  <w:style w:type="paragraph" w:styleId="Footer">
    <w:name w:val="footer"/>
    <w:basedOn w:val="Normal"/>
    <w:link w:val="FooterChar"/>
    <w:uiPriority w:val="99"/>
    <w:unhideWhenUsed/>
    <w:rsid w:val="00511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CC6"/>
    <w:rPr>
      <w:rFonts w:ascii="Arial" w:hAnsi="Arial"/>
    </w:rPr>
  </w:style>
  <w:style w:type="character" w:styleId="CommentReference">
    <w:name w:val="annotation reference"/>
    <w:basedOn w:val="DefaultParagraphFont"/>
    <w:uiPriority w:val="99"/>
    <w:semiHidden/>
    <w:unhideWhenUsed/>
    <w:rsid w:val="00D91169"/>
    <w:rPr>
      <w:sz w:val="16"/>
      <w:szCs w:val="16"/>
    </w:rPr>
  </w:style>
  <w:style w:type="paragraph" w:styleId="CommentText">
    <w:name w:val="annotation text"/>
    <w:basedOn w:val="Normal"/>
    <w:link w:val="CommentTextChar"/>
    <w:uiPriority w:val="99"/>
    <w:semiHidden/>
    <w:unhideWhenUsed/>
    <w:rsid w:val="00D91169"/>
    <w:pPr>
      <w:spacing w:line="240" w:lineRule="auto"/>
    </w:pPr>
    <w:rPr>
      <w:sz w:val="20"/>
      <w:szCs w:val="20"/>
    </w:rPr>
  </w:style>
  <w:style w:type="character" w:customStyle="1" w:styleId="CommentTextChar">
    <w:name w:val="Comment Text Char"/>
    <w:basedOn w:val="DefaultParagraphFont"/>
    <w:link w:val="CommentText"/>
    <w:uiPriority w:val="99"/>
    <w:semiHidden/>
    <w:rsid w:val="00D911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91169"/>
    <w:rPr>
      <w:b/>
      <w:bCs/>
    </w:rPr>
  </w:style>
  <w:style w:type="character" w:customStyle="1" w:styleId="CommentSubjectChar">
    <w:name w:val="Comment Subject Char"/>
    <w:basedOn w:val="CommentTextChar"/>
    <w:link w:val="CommentSubject"/>
    <w:uiPriority w:val="99"/>
    <w:semiHidden/>
    <w:rsid w:val="00D9116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87533">
      <w:bodyDiv w:val="1"/>
      <w:marLeft w:val="0"/>
      <w:marRight w:val="0"/>
      <w:marTop w:val="0"/>
      <w:marBottom w:val="0"/>
      <w:divBdr>
        <w:top w:val="none" w:sz="0" w:space="0" w:color="auto"/>
        <w:left w:val="none" w:sz="0" w:space="0" w:color="auto"/>
        <w:bottom w:val="none" w:sz="0" w:space="0" w:color="auto"/>
        <w:right w:val="none" w:sz="0" w:space="0" w:color="auto"/>
      </w:divBdr>
    </w:div>
    <w:div w:id="638264013">
      <w:bodyDiv w:val="1"/>
      <w:marLeft w:val="0"/>
      <w:marRight w:val="0"/>
      <w:marTop w:val="0"/>
      <w:marBottom w:val="0"/>
      <w:divBdr>
        <w:top w:val="none" w:sz="0" w:space="0" w:color="auto"/>
        <w:left w:val="none" w:sz="0" w:space="0" w:color="auto"/>
        <w:bottom w:val="none" w:sz="0" w:space="0" w:color="auto"/>
        <w:right w:val="none" w:sz="0" w:space="0" w:color="auto"/>
      </w:divBdr>
    </w:div>
    <w:div w:id="766195533">
      <w:bodyDiv w:val="1"/>
      <w:marLeft w:val="0"/>
      <w:marRight w:val="0"/>
      <w:marTop w:val="0"/>
      <w:marBottom w:val="0"/>
      <w:divBdr>
        <w:top w:val="none" w:sz="0" w:space="0" w:color="auto"/>
        <w:left w:val="none" w:sz="0" w:space="0" w:color="auto"/>
        <w:bottom w:val="none" w:sz="0" w:space="0" w:color="auto"/>
        <w:right w:val="none" w:sz="0" w:space="0" w:color="auto"/>
      </w:divBdr>
    </w:div>
    <w:div w:id="783886382">
      <w:bodyDiv w:val="1"/>
      <w:marLeft w:val="0"/>
      <w:marRight w:val="0"/>
      <w:marTop w:val="0"/>
      <w:marBottom w:val="0"/>
      <w:divBdr>
        <w:top w:val="none" w:sz="0" w:space="0" w:color="auto"/>
        <w:left w:val="none" w:sz="0" w:space="0" w:color="auto"/>
        <w:bottom w:val="none" w:sz="0" w:space="0" w:color="auto"/>
        <w:right w:val="none" w:sz="0" w:space="0" w:color="auto"/>
      </w:divBdr>
    </w:div>
    <w:div w:id="849491697">
      <w:bodyDiv w:val="1"/>
      <w:marLeft w:val="0"/>
      <w:marRight w:val="0"/>
      <w:marTop w:val="0"/>
      <w:marBottom w:val="0"/>
      <w:divBdr>
        <w:top w:val="none" w:sz="0" w:space="0" w:color="auto"/>
        <w:left w:val="none" w:sz="0" w:space="0" w:color="auto"/>
        <w:bottom w:val="none" w:sz="0" w:space="0" w:color="auto"/>
        <w:right w:val="none" w:sz="0" w:space="0" w:color="auto"/>
      </w:divBdr>
    </w:div>
    <w:div w:id="1559978708">
      <w:bodyDiv w:val="1"/>
      <w:marLeft w:val="0"/>
      <w:marRight w:val="0"/>
      <w:marTop w:val="0"/>
      <w:marBottom w:val="0"/>
      <w:divBdr>
        <w:top w:val="none" w:sz="0" w:space="0" w:color="auto"/>
        <w:left w:val="none" w:sz="0" w:space="0" w:color="auto"/>
        <w:bottom w:val="none" w:sz="0" w:space="0" w:color="auto"/>
        <w:right w:val="none" w:sz="0" w:space="0" w:color="auto"/>
      </w:divBdr>
    </w:div>
    <w:div w:id="1584602767">
      <w:bodyDiv w:val="1"/>
      <w:marLeft w:val="0"/>
      <w:marRight w:val="0"/>
      <w:marTop w:val="0"/>
      <w:marBottom w:val="0"/>
      <w:divBdr>
        <w:top w:val="none" w:sz="0" w:space="0" w:color="auto"/>
        <w:left w:val="none" w:sz="0" w:space="0" w:color="auto"/>
        <w:bottom w:val="none" w:sz="0" w:space="0" w:color="auto"/>
        <w:right w:val="none" w:sz="0" w:space="0" w:color="auto"/>
      </w:divBdr>
    </w:div>
    <w:div w:id="1630895238">
      <w:bodyDiv w:val="1"/>
      <w:marLeft w:val="0"/>
      <w:marRight w:val="0"/>
      <w:marTop w:val="0"/>
      <w:marBottom w:val="0"/>
      <w:divBdr>
        <w:top w:val="none" w:sz="0" w:space="0" w:color="auto"/>
        <w:left w:val="none" w:sz="0" w:space="0" w:color="auto"/>
        <w:bottom w:val="none" w:sz="0" w:space="0" w:color="auto"/>
        <w:right w:val="none" w:sz="0" w:space="0" w:color="auto"/>
      </w:divBdr>
    </w:div>
    <w:div w:id="17702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HESA Primary">
      <a:dk1>
        <a:sysClr val="windowText" lastClr="000000"/>
      </a:dk1>
      <a:lt1>
        <a:sysClr val="window" lastClr="FFFFFF"/>
      </a:lt1>
      <a:dk2>
        <a:srgbClr val="FFFFFF"/>
      </a:dk2>
      <a:lt2>
        <a:srgbClr val="E7E6E6"/>
      </a:lt2>
      <a:accent1>
        <a:srgbClr val="6A86B8"/>
      </a:accent1>
      <a:accent2>
        <a:srgbClr val="1F4388"/>
      </a:accent2>
      <a:accent3>
        <a:srgbClr val="83C7BC"/>
      </a:accent3>
      <a:accent4>
        <a:srgbClr val="DFE3EB"/>
      </a:accent4>
      <a:accent5>
        <a:srgbClr val="1E355E"/>
      </a:accent5>
      <a:accent6>
        <a:srgbClr val="DBD9D6"/>
      </a:accent6>
      <a:hlink>
        <a:srgbClr val="954F72"/>
      </a:hlink>
      <a:folHlink>
        <a:srgbClr val="FFFFFF"/>
      </a:folHlink>
    </a:clrScheme>
    <a:fontScheme name="HES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CA30779-2FCC-4113-A423-2B8FCC9A984F}" vid="{2E1A3BB4-BFDB-4525-8A8F-C698B9370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SharedWithUsers xmlns="9b9937a8-eafa-4a27-b809-98474ec73a55">
      <UserInfo>
        <DisplayName>Dan Cook</DisplayName>
        <AccountId>57</AccountId>
        <AccountType/>
      </UserInfo>
      <UserInfo>
        <DisplayName>Rachel Hewitt</DisplayName>
        <AccountId>115</AccountId>
        <AccountType/>
      </UserInfo>
      <UserInfo>
        <DisplayName>Communications</DisplayName>
        <AccountId>511</AccountId>
        <AccountType/>
      </UserInfo>
      <UserInfo>
        <DisplayName>Paul Clark</DisplayName>
        <AccountId>321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10" ma:contentTypeDescription="Create a new document." ma:contentTypeScope="" ma:versionID="269f85545fa28430a5d3282b0779f206">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582d09030af37f861091776ecaf1129d"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BD3A4-DF17-4C97-BE0D-2228D7412A77}">
  <ds:schemaRefs>
    <ds:schemaRef ds:uri="http://purl.org/dc/elements/1.1/"/>
    <ds:schemaRef ds:uri="9b9937a8-eafa-4a27-b809-98474ec73a55"/>
    <ds:schemaRef ds:uri="a45e714d-71aa-41bd-a0fb-0b18d003f343"/>
    <ds:schemaRef ds:uri="http://purl.org/dc/dcmitype/"/>
    <ds:schemaRef ds:uri="http://schemas.microsoft.com/office/2006/metadata/properties"/>
    <ds:schemaRef ds:uri="http://schemas.microsoft.com/office/infopath/2007/PartnerControls"/>
    <ds:schemaRef ds:uri="http://schemas.microsoft.com/office/2006/documentManagement/types"/>
    <ds:schemaRef ds:uri="5677653f-c5f2-48a5-85d0-ca15fa286beb"/>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BE59F35-8D51-425B-A58B-47BF3E9FF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EA070-A059-46DE-A85F-8F86E297C4CA}">
  <ds:schemaRefs>
    <ds:schemaRef ds:uri="http://schemas.microsoft.com/sharepoint/v3/contenttype/forms"/>
  </ds:schemaRefs>
</ds:datastoreItem>
</file>

<file path=customXml/itemProps4.xml><?xml version="1.0" encoding="utf-8"?>
<ds:datastoreItem xmlns:ds="http://schemas.openxmlformats.org/officeDocument/2006/customXml" ds:itemID="{98D4251E-D836-4DC8-B5FC-D11DF446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7</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Hewitt</dc:creator>
  <cp:keywords/>
  <dc:description/>
  <cp:lastModifiedBy>Rachel Hewitt</cp:lastModifiedBy>
  <cp:revision>13</cp:revision>
  <cp:lastPrinted>2016-06-09T15:21:00Z</cp:lastPrinted>
  <dcterms:created xsi:type="dcterms:W3CDTF">2016-10-04T13:35:00Z</dcterms:created>
  <dcterms:modified xsi:type="dcterms:W3CDTF">2016-11-21T13:48:00Z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