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01B04" w14:textId="14416166" w:rsidR="20113F67" w:rsidRDefault="0098334E" w:rsidP="005A72E2">
      <w:pPr>
        <w:pStyle w:val="Heading1"/>
      </w:pPr>
      <w:r>
        <w:t>H</w:t>
      </w:r>
      <w:r w:rsidR="006108DC">
        <w:t>igher Education student</w:t>
      </w:r>
      <w:r>
        <w:t xml:space="preserve"> outcomes and destinations: a </w:t>
      </w:r>
      <w:r w:rsidR="00201524">
        <w:t xml:space="preserve">remit for a fundamental </w:t>
      </w:r>
      <w:r>
        <w:t>review of information needs</w:t>
      </w:r>
    </w:p>
    <w:p w14:paraId="3A923C4E" w14:textId="0750FF70" w:rsidR="002F481C" w:rsidRDefault="009E67DF" w:rsidP="00E71C2F">
      <w:pPr>
        <w:rPr>
          <w:b/>
        </w:rPr>
      </w:pPr>
      <w:r>
        <w:rPr>
          <w:b/>
          <w:bCs/>
        </w:rPr>
        <w:t>W</w:t>
      </w:r>
      <w:r w:rsidR="00626428" w:rsidRPr="0098334E">
        <w:rPr>
          <w:b/>
          <w:bCs/>
        </w:rPr>
        <w:t xml:space="preserve">hat information </w:t>
      </w:r>
      <w:r>
        <w:rPr>
          <w:b/>
          <w:bCs/>
        </w:rPr>
        <w:t>will we need to gather</w:t>
      </w:r>
      <w:r w:rsidR="00626428" w:rsidRPr="0098334E">
        <w:rPr>
          <w:b/>
          <w:bCs/>
        </w:rPr>
        <w:t xml:space="preserve"> about </w:t>
      </w:r>
      <w:r w:rsidR="00626428">
        <w:rPr>
          <w:b/>
          <w:bCs/>
        </w:rPr>
        <w:t xml:space="preserve">post-study </w:t>
      </w:r>
      <w:r w:rsidR="00626428" w:rsidRPr="00866628">
        <w:rPr>
          <w:b/>
          <w:bCs/>
        </w:rPr>
        <w:t>outcomes for those leaving higher</w:t>
      </w:r>
      <w:r w:rsidR="00626428">
        <w:rPr>
          <w:b/>
          <w:bCs/>
        </w:rPr>
        <w:t xml:space="preserve"> education</w:t>
      </w:r>
      <w:r>
        <w:rPr>
          <w:b/>
          <w:bCs/>
        </w:rPr>
        <w:t xml:space="preserve"> in future? How can we</w:t>
      </w:r>
      <w:r w:rsidR="00626428">
        <w:rPr>
          <w:b/>
          <w:bCs/>
        </w:rPr>
        <w:t xml:space="preserve"> pursue new and more efficient ways of delivering better quality data for students and all those who support their </w:t>
      </w:r>
      <w:r>
        <w:rPr>
          <w:b/>
          <w:bCs/>
        </w:rPr>
        <w:t>studies?</w:t>
      </w:r>
      <w:r w:rsidR="00626428">
        <w:rPr>
          <w:b/>
          <w:bCs/>
        </w:rPr>
        <w:t xml:space="preserve"> </w:t>
      </w:r>
      <w:r w:rsidR="000C7602">
        <w:rPr>
          <w:b/>
        </w:rPr>
        <w:t>T</w:t>
      </w:r>
      <w:r w:rsidR="0048261B">
        <w:rPr>
          <w:b/>
        </w:rPr>
        <w:t>he</w:t>
      </w:r>
      <w:r w:rsidR="5DFFC7B7" w:rsidRPr="0098334E">
        <w:rPr>
          <w:b/>
        </w:rPr>
        <w:t xml:space="preserve"> gra</w:t>
      </w:r>
      <w:r w:rsidR="22071FEB" w:rsidRPr="0098334E">
        <w:rPr>
          <w:b/>
        </w:rPr>
        <w:t xml:space="preserve">duate jobs market </w:t>
      </w:r>
      <w:r w:rsidR="000C7602">
        <w:rPr>
          <w:b/>
        </w:rPr>
        <w:t xml:space="preserve">has changed </w:t>
      </w:r>
      <w:r w:rsidR="00EC713E">
        <w:rPr>
          <w:b/>
        </w:rPr>
        <w:t>substantially in the last 15 years</w:t>
      </w:r>
      <w:r w:rsidR="003A3A47">
        <w:rPr>
          <w:b/>
        </w:rPr>
        <w:t>: f</w:t>
      </w:r>
      <w:r w:rsidR="008B2B6F">
        <w:rPr>
          <w:b/>
        </w:rPr>
        <w:t xml:space="preserve">urther change is inevitable and </w:t>
      </w:r>
      <w:r w:rsidR="00F53DAE">
        <w:rPr>
          <w:b/>
        </w:rPr>
        <w:t xml:space="preserve">its pace </w:t>
      </w:r>
      <w:r w:rsidR="0082576A">
        <w:rPr>
          <w:b/>
        </w:rPr>
        <w:t xml:space="preserve">will be </w:t>
      </w:r>
      <w:r>
        <w:rPr>
          <w:b/>
        </w:rPr>
        <w:t>rapid</w:t>
      </w:r>
      <w:r w:rsidR="008B2B6F" w:rsidRPr="0098334E">
        <w:rPr>
          <w:b/>
        </w:rPr>
        <w:t xml:space="preserve">. </w:t>
      </w:r>
      <w:r w:rsidR="008B2B6F">
        <w:rPr>
          <w:b/>
        </w:rPr>
        <w:t>U</w:t>
      </w:r>
      <w:r w:rsidR="00866628">
        <w:rPr>
          <w:b/>
        </w:rPr>
        <w:t>niversities h</w:t>
      </w:r>
      <w:r w:rsidR="008B2B6F">
        <w:rPr>
          <w:b/>
        </w:rPr>
        <w:t>ave adapted to support students in meeting the challenges they face,</w:t>
      </w:r>
      <w:r w:rsidR="00866628">
        <w:rPr>
          <w:b/>
        </w:rPr>
        <w:t xml:space="preserve"> </w:t>
      </w:r>
      <w:r w:rsidR="0082576A">
        <w:rPr>
          <w:b/>
        </w:rPr>
        <w:t>with</w:t>
      </w:r>
      <w:r w:rsidR="005E5DD5">
        <w:rPr>
          <w:b/>
        </w:rPr>
        <w:t xml:space="preserve"> </w:t>
      </w:r>
      <w:r w:rsidR="008B2B6F">
        <w:rPr>
          <w:b/>
        </w:rPr>
        <w:t xml:space="preserve">differentiated and increasingly sophisticated approaches. </w:t>
      </w:r>
      <w:r w:rsidR="005E5DD5">
        <w:rPr>
          <w:b/>
        </w:rPr>
        <w:t xml:space="preserve">However, </w:t>
      </w:r>
      <w:r w:rsidR="008B2B6F">
        <w:rPr>
          <w:b/>
        </w:rPr>
        <w:t>d</w:t>
      </w:r>
      <w:r w:rsidR="000C7602">
        <w:rPr>
          <w:b/>
        </w:rPr>
        <w:t>ata collection on</w:t>
      </w:r>
      <w:r w:rsidR="00EC713E">
        <w:rPr>
          <w:b/>
        </w:rPr>
        <w:t xml:space="preserve"> employment and other life outcomes </w:t>
      </w:r>
      <w:r w:rsidR="005E5DD5">
        <w:rPr>
          <w:b/>
        </w:rPr>
        <w:t>following</w:t>
      </w:r>
      <w:r w:rsidR="00EC713E">
        <w:rPr>
          <w:b/>
        </w:rPr>
        <w:t xml:space="preserve"> higher education has not changed</w:t>
      </w:r>
      <w:r w:rsidR="000C7602">
        <w:rPr>
          <w:b/>
        </w:rPr>
        <w:t xml:space="preserve"> </w:t>
      </w:r>
      <w:r w:rsidR="00EC713E">
        <w:rPr>
          <w:b/>
        </w:rPr>
        <w:t>substantially sinc</w:t>
      </w:r>
      <w:r w:rsidR="00626428">
        <w:rPr>
          <w:b/>
        </w:rPr>
        <w:t xml:space="preserve">e 2002. All stakeholders will benefit from developing a plan </w:t>
      </w:r>
      <w:r>
        <w:rPr>
          <w:b/>
        </w:rPr>
        <w:t>to collect</w:t>
      </w:r>
      <w:r w:rsidR="00626428">
        <w:rPr>
          <w:b/>
        </w:rPr>
        <w:t xml:space="preserve"> better data at lower cost.</w:t>
      </w:r>
    </w:p>
    <w:p w14:paraId="0657D6F2" w14:textId="4FCBD514" w:rsidR="00B05A04" w:rsidRDefault="00B05A04" w:rsidP="00B05A04">
      <w:r>
        <w:t>D</w:t>
      </w:r>
      <w:r w:rsidRPr="00A20F09">
        <w:t xml:space="preserve">ata on </w:t>
      </w:r>
      <w:r>
        <w:t xml:space="preserve">student and </w:t>
      </w:r>
      <w:r w:rsidRPr="00A20F09">
        <w:t xml:space="preserve">graduate </w:t>
      </w:r>
      <w:r>
        <w:t>employability</w:t>
      </w:r>
      <w:r w:rsidRPr="00A20F09">
        <w:t xml:space="preserve"> and destinations</w:t>
      </w:r>
      <w:r>
        <w:t xml:space="preserve"> of leavers from HE</w:t>
      </w:r>
      <w:r w:rsidRPr="6FFF65F5">
        <w:t xml:space="preserve"> </w:t>
      </w:r>
      <w:r>
        <w:t>are now being</w:t>
      </w:r>
      <w:r w:rsidRPr="6FFF65F5">
        <w:t xml:space="preserve"> </w:t>
      </w:r>
      <w:r>
        <w:t>scrutinized more closely by a wider range of users than in the past</w:t>
      </w:r>
      <w:r w:rsidRPr="6FFF65F5">
        <w:t xml:space="preserve">. </w:t>
      </w:r>
      <w:r>
        <w:t>Course-level information</w:t>
      </w:r>
      <w:r w:rsidRPr="6FFF65F5">
        <w:t xml:space="preserve"> </w:t>
      </w:r>
      <w:r>
        <w:t>on graduate employment is now made available to applicants and their advisers, through Unistats</w:t>
      </w:r>
      <w:r w:rsidRPr="6FFF65F5">
        <w:t xml:space="preserve">. </w:t>
      </w:r>
      <w:r>
        <w:t>Many Higher Education providers use destinations measures as key performance indicators. Policymakers and sector bodies use destinations data as evidence to support policy on higher education, regional development and support for businesses</w:t>
      </w:r>
      <w:r>
        <w:rPr>
          <w:rStyle w:val="FootnoteReference"/>
        </w:rPr>
        <w:footnoteReference w:id="1"/>
      </w:r>
      <w:r w:rsidRPr="6FFF65F5">
        <w:t xml:space="preserve">. </w:t>
      </w:r>
      <w:r>
        <w:t>Recent government announcements clarify ambitions ‘for more data to be made available’</w:t>
      </w:r>
      <w:r w:rsidR="007D60D7">
        <w:rPr>
          <w:rStyle w:val="FootnoteReference"/>
        </w:rPr>
        <w:footnoteReference w:id="2"/>
      </w:r>
      <w:r>
        <w:t xml:space="preserve"> to support student choice, curriculum design</w:t>
      </w:r>
      <w:r w:rsidR="007D60D7">
        <w:t xml:space="preserve"> and </w:t>
      </w:r>
      <w:r>
        <w:t>quality assessment</w:t>
      </w:r>
      <w:r w:rsidR="00521711">
        <w:t>.</w:t>
      </w:r>
      <w:r w:rsidR="007D60D7">
        <w:t xml:space="preserve"> </w:t>
      </w:r>
      <w:r w:rsidR="00521711">
        <w:t>C</w:t>
      </w:r>
      <w:r w:rsidR="007D60D7">
        <w:t xml:space="preserve">onsideration of the data </w:t>
      </w:r>
      <w:r w:rsidR="00521711">
        <w:t xml:space="preserve">needed </w:t>
      </w:r>
      <w:r w:rsidR="007D60D7">
        <w:t>to support these aims</w:t>
      </w:r>
      <w:r w:rsidR="00521711">
        <w:t xml:space="preserve">, is </w:t>
      </w:r>
      <w:r w:rsidR="0068796F">
        <w:t xml:space="preserve">therefore </w:t>
      </w:r>
      <w:r w:rsidR="00521711">
        <w:t>timely</w:t>
      </w:r>
      <w:r w:rsidR="007D60D7">
        <w:t>.</w:t>
      </w:r>
    </w:p>
    <w:p w14:paraId="7762A247" w14:textId="7E17EB0F" w:rsidR="007D60D7" w:rsidRPr="00290D41" w:rsidRDefault="007D60D7" w:rsidP="007D60D7">
      <w:pPr>
        <w:rPr>
          <w:rFonts w:ascii="Calibri" w:eastAsia="Calibri" w:hAnsi="Calibri" w:cs="Calibri"/>
        </w:rPr>
      </w:pPr>
      <w:r>
        <w:t>The Small Business, Enterprise and Employment (SBEE) Act permits the linking of HE student data to national tax and welfare records, for the purpose of educational evaluation. The data will enable ‘a much richer … understanding of social mobility’, ‘[b]roaden the range of information available to parents and students’ and enable government to ‘distinguish universities that are delivering durable labour market outcomes and a strong enterprise ethos for their students.’</w:t>
      </w:r>
      <w:r>
        <w:rPr>
          <w:rStyle w:val="FootnoteReference"/>
        </w:rPr>
        <w:footnoteReference w:id="3"/>
      </w:r>
      <w:r>
        <w:t xml:space="preserve"> The Act also aims to ‘secure a comprehensive accountability system and better informed interventions and policies.’ </w:t>
      </w:r>
      <w:r>
        <w:rPr>
          <w:rFonts w:ascii="Calibri" w:eastAsia="Calibri" w:hAnsi="Calibri" w:cs="Calibri"/>
        </w:rPr>
        <w:t xml:space="preserve">The implications of the Act must be understood and taken into account, alongside initiatives </w:t>
      </w:r>
      <w:r w:rsidR="009E67DF">
        <w:rPr>
          <w:rFonts w:ascii="Calibri" w:eastAsia="Calibri" w:hAnsi="Calibri" w:cs="Calibri"/>
        </w:rPr>
        <w:t>dependent</w:t>
      </w:r>
      <w:r>
        <w:rPr>
          <w:rFonts w:ascii="Calibri" w:eastAsia="Calibri" w:hAnsi="Calibri" w:cs="Calibri"/>
        </w:rPr>
        <w:t xml:space="preserve"> upon it, such as the Future Earnings and Employment Record</w:t>
      </w:r>
      <w:r>
        <w:rPr>
          <w:rStyle w:val="FootnoteReference"/>
          <w:rFonts w:ascii="Calibri" w:eastAsia="Calibri" w:hAnsi="Calibri" w:cs="Calibri"/>
        </w:rPr>
        <w:footnoteReference w:id="4"/>
      </w:r>
      <w:r>
        <w:rPr>
          <w:rFonts w:ascii="Calibri" w:eastAsia="Calibri" w:hAnsi="Calibri" w:cs="Calibri"/>
        </w:rPr>
        <w:t xml:space="preserve"> and the E-star award.</w:t>
      </w:r>
      <w:r>
        <w:rPr>
          <w:rStyle w:val="FootnoteReference"/>
          <w:rFonts w:ascii="Calibri" w:eastAsia="Calibri" w:hAnsi="Calibri" w:cs="Calibri"/>
        </w:rPr>
        <w:footnoteReference w:id="5"/>
      </w:r>
    </w:p>
    <w:p w14:paraId="6A9D3386" w14:textId="641A5A56" w:rsidR="007D60D7" w:rsidRDefault="007D60D7" w:rsidP="007D60D7">
      <w:r>
        <w:t>Higher education providers</w:t>
      </w:r>
      <w:r w:rsidRPr="7A41C378">
        <w:t xml:space="preserve"> </w:t>
      </w:r>
      <w:r>
        <w:t>currently obtain</w:t>
      </w:r>
      <w:r w:rsidRPr="00A20F09">
        <w:t xml:space="preserve"> data on the destinations of all graduates six months after they </w:t>
      </w:r>
      <w:r>
        <w:t>leave</w:t>
      </w:r>
      <w:r w:rsidRPr="00A20F09">
        <w:t xml:space="preserve"> university, through the Destination of Leavers from Higher Education (DLHE) </w:t>
      </w:r>
      <w:r>
        <w:t>survey</w:t>
      </w:r>
      <w:r w:rsidRPr="7A41C378">
        <w:t xml:space="preserve">, </w:t>
      </w:r>
      <w:r w:rsidRPr="00A20F09">
        <w:t xml:space="preserve">the results of which are </w:t>
      </w:r>
      <w:r>
        <w:t>collected and published by</w:t>
      </w:r>
      <w:r w:rsidRPr="00A20F09">
        <w:t xml:space="preserve"> HESA. Data </w:t>
      </w:r>
      <w:r w:rsidR="009E67DF">
        <w:t>has</w:t>
      </w:r>
      <w:r w:rsidRPr="00A20F09">
        <w:t xml:space="preserve"> also </w:t>
      </w:r>
      <w:r w:rsidR="009E67DF">
        <w:t xml:space="preserve">been </w:t>
      </w:r>
      <w:r w:rsidRPr="00A20F09">
        <w:t xml:space="preserve">collected </w:t>
      </w:r>
      <w:r>
        <w:t xml:space="preserve">biennially </w:t>
      </w:r>
      <w:r w:rsidRPr="00A20F09">
        <w:t xml:space="preserve">on a sample of </w:t>
      </w:r>
      <w:r>
        <w:t>DLHE respondents, a further</w:t>
      </w:r>
      <w:r w:rsidRPr="00A20F09">
        <w:t xml:space="preserve"> three years </w:t>
      </w:r>
      <w:r>
        <w:t>later</w:t>
      </w:r>
      <w:r w:rsidRPr="00A20F09">
        <w:t xml:space="preserve">, through HESA's centrally-co-ordinated Longitudinal </w:t>
      </w:r>
      <w:r>
        <w:t>DLHE survey</w:t>
      </w:r>
      <w:r w:rsidRPr="7A41C378">
        <w:t xml:space="preserve">. </w:t>
      </w:r>
      <w:r w:rsidRPr="2AEEB593">
        <w:t>In addition, t</w:t>
      </w:r>
      <w:r>
        <w:t>here are parallel surveys of new entrants to the teaching and medical professions</w:t>
      </w:r>
      <w:r w:rsidRPr="7A41C378">
        <w:t>,</w:t>
      </w:r>
      <w:r>
        <w:t xml:space="preserve"> conducted by other national-level bodies</w:t>
      </w:r>
      <w:r w:rsidRPr="7A41C378">
        <w:t xml:space="preserve">. </w:t>
      </w:r>
      <w:r>
        <w:t xml:space="preserve">HESA also collects data on graduate start-ups and collaboration between universities and businesses in the HE Business and Community Interaction survey. </w:t>
      </w:r>
      <w:r w:rsidR="009E67DF">
        <w:t>This</w:t>
      </w:r>
      <w:r>
        <w:t xml:space="preserve"> data </w:t>
      </w:r>
      <w:r w:rsidR="009E67DF">
        <w:t>is</w:t>
      </w:r>
      <w:r>
        <w:t xml:space="preserve"> supplemented by research projects undertaken by a range of government, higher education and other bodies</w:t>
      </w:r>
      <w:r w:rsidRPr="00963273">
        <w:t xml:space="preserve"> </w:t>
      </w:r>
      <w:r>
        <w:t xml:space="preserve">with a public purpose. </w:t>
      </w:r>
    </w:p>
    <w:p w14:paraId="2CAFC7C5" w14:textId="574CD65E" w:rsidR="007D60D7" w:rsidRDefault="007D60D7" w:rsidP="007D60D7">
      <w:r>
        <w:t xml:space="preserve">Survey and data-gathering technology and capabilities have improved, and offer the prospect of making methodological improvements that will improve data quality, while reducing the substantial costs of </w:t>
      </w:r>
      <w:r w:rsidR="00181060">
        <w:t xml:space="preserve">data </w:t>
      </w:r>
      <w:r>
        <w:t xml:space="preserve">collection. We should also take this opportunity to tackle duplication (in </w:t>
      </w:r>
      <w:r w:rsidR="006E40FF">
        <w:t>particular workforce areas</w:t>
      </w:r>
      <w:r>
        <w:t>) which is costly and does not serve the interests of respondents.</w:t>
      </w:r>
    </w:p>
    <w:p w14:paraId="72C59E57" w14:textId="121ABC72" w:rsidR="000C7602" w:rsidRPr="005A72E2" w:rsidRDefault="008B2B6F" w:rsidP="00B05A04">
      <w:pPr>
        <w:rPr>
          <w:i/>
        </w:rPr>
      </w:pPr>
      <w:r>
        <w:lastRenderedPageBreak/>
        <w:t>Changing</w:t>
      </w:r>
      <w:r w:rsidR="00F37516">
        <w:t xml:space="preserve"> graduate </w:t>
      </w:r>
      <w:r>
        <w:t>employment prospects are</w:t>
      </w:r>
      <w:r w:rsidRPr="3F71384E">
        <w:t xml:space="preserve"> </w:t>
      </w:r>
      <w:r>
        <w:t>an important</w:t>
      </w:r>
      <w:r w:rsidR="00F37516">
        <w:t xml:space="preserve"> aspect of</w:t>
      </w:r>
      <w:r w:rsidR="00F37516" w:rsidRPr="3F71384E">
        <w:t xml:space="preserve"> </w:t>
      </w:r>
      <w:r w:rsidR="00F37516">
        <w:t>‘significant changes to the shape and composition of the economy and labour market over the past quarter of a century</w:t>
      </w:r>
      <w:r w:rsidR="00F37516" w:rsidRPr="3F71384E">
        <w:t>’</w:t>
      </w:r>
      <w:r w:rsidR="00D47091" w:rsidRPr="3F71384E">
        <w:t>.</w:t>
      </w:r>
      <w:r w:rsidR="003A3A47">
        <w:rPr>
          <w:rStyle w:val="FootnoteReference"/>
        </w:rPr>
        <w:footnoteReference w:id="6"/>
      </w:r>
      <w:r w:rsidR="00D47091">
        <w:t xml:space="preserve"> Research indicates the development of an ‘hourglass-shape’ labour market</w:t>
      </w:r>
      <w:r w:rsidR="003A3A47">
        <w:rPr>
          <w:rStyle w:val="FootnoteReference"/>
        </w:rPr>
        <w:footnoteReference w:id="7"/>
      </w:r>
      <w:r w:rsidR="00D47091" w:rsidRPr="3F71384E">
        <w:t xml:space="preserve"> </w:t>
      </w:r>
      <w:r w:rsidR="00023C49">
        <w:t>where there is</w:t>
      </w:r>
      <w:r w:rsidR="00D47091">
        <w:t xml:space="preserve"> growth in high-skill and low-skill roles, while middle-level roles decline.</w:t>
      </w:r>
      <w:r w:rsidR="00D47091" w:rsidRPr="3F71384E">
        <w:t xml:space="preserve"> </w:t>
      </w:r>
      <w:r w:rsidR="00023C49">
        <w:t>While</w:t>
      </w:r>
      <w:r w:rsidR="00AF562F">
        <w:t xml:space="preserve"> there is evidence of a growing disparity between the earnings of graduates in graduate and non-graduate jobs, t</w:t>
      </w:r>
      <w:r w:rsidR="00D47091">
        <w:t xml:space="preserve">he </w:t>
      </w:r>
      <w:r w:rsidR="00AF562F">
        <w:t xml:space="preserve">overall </w:t>
      </w:r>
      <w:r w:rsidR="00D47091">
        <w:t>proportion of jobs requiring graduate skills has increased, as has the proportion of graduates in the labour market</w:t>
      </w:r>
      <w:r w:rsidR="00D47091" w:rsidRPr="3F71384E">
        <w:t>.</w:t>
      </w:r>
      <w:r w:rsidR="003A3A47">
        <w:rPr>
          <w:rStyle w:val="FootnoteReference"/>
        </w:rPr>
        <w:footnoteReference w:id="8"/>
      </w:r>
      <w:r w:rsidR="00D47091" w:rsidRPr="3F71384E">
        <w:t xml:space="preserve"> </w:t>
      </w:r>
      <w:r w:rsidR="00491A86">
        <w:t>Despite the decline in the relative wage advantage</w:t>
      </w:r>
      <w:r w:rsidR="00491A86" w:rsidRPr="3F71384E">
        <w:t xml:space="preserve"> </w:t>
      </w:r>
      <w:r w:rsidR="00491A86">
        <w:t>of graduates, ‘a degree continues to confer a significant earnings advantage</w:t>
      </w:r>
      <w:r w:rsidR="00491A86" w:rsidRPr="3F71384E">
        <w:t>’.</w:t>
      </w:r>
      <w:r w:rsidR="00491A86">
        <w:rPr>
          <w:rStyle w:val="FootnoteReference"/>
        </w:rPr>
        <w:footnoteReference w:id="9"/>
      </w:r>
      <w:r w:rsidR="00491A86" w:rsidRPr="3F71384E">
        <w:t xml:space="preserve"> </w:t>
      </w:r>
      <w:r w:rsidR="002D0E9C">
        <w:t>Studies s</w:t>
      </w:r>
      <w:r w:rsidR="0082576A">
        <w:t>how</w:t>
      </w:r>
      <w:r w:rsidR="002D72E2">
        <w:t xml:space="preserve"> that gradua</w:t>
      </w:r>
      <w:r w:rsidR="008C0BBC">
        <w:t>tes boost economic productivity to the extent that</w:t>
      </w:r>
      <w:r w:rsidR="003A3A47">
        <w:t xml:space="preserve"> businesses will increase their</w:t>
      </w:r>
      <w:r w:rsidR="002D72E2">
        <w:t xml:space="preserve"> demand </w:t>
      </w:r>
      <w:r w:rsidR="003A3A47">
        <w:t xml:space="preserve">for </w:t>
      </w:r>
      <w:r w:rsidR="002D72E2">
        <w:t>graduate skills</w:t>
      </w:r>
      <w:r w:rsidR="008C0BBC">
        <w:t>, with two million more jobs requiring higher-level skills by 2022</w:t>
      </w:r>
      <w:r w:rsidR="002D72E2">
        <w:t>.</w:t>
      </w:r>
      <w:r w:rsidR="003A3A47">
        <w:rPr>
          <w:rStyle w:val="FootnoteReference"/>
        </w:rPr>
        <w:footnoteReference w:id="10"/>
      </w:r>
    </w:p>
    <w:p w14:paraId="07EA7193" w14:textId="2884FF64" w:rsidR="00D94F5F" w:rsidRDefault="00D94F5F" w:rsidP="00DD770B">
      <w:r>
        <w:t xml:space="preserve">The labour </w:t>
      </w:r>
      <w:r w:rsidR="00E34EC8">
        <w:t xml:space="preserve">market is </w:t>
      </w:r>
      <w:r w:rsidR="00DC0FC8">
        <w:t>predicted to change further and faster</w:t>
      </w:r>
      <w:r>
        <w:t xml:space="preserve">. A recent government report identifies </w:t>
      </w:r>
      <w:r w:rsidR="00DD770B">
        <w:t xml:space="preserve">four </w:t>
      </w:r>
      <w:r>
        <w:t xml:space="preserve">potential </w:t>
      </w:r>
      <w:r w:rsidR="008F44CC">
        <w:t>future</w:t>
      </w:r>
      <w:r w:rsidR="00F53DAE">
        <w:t xml:space="preserve"> </w:t>
      </w:r>
      <w:r>
        <w:t xml:space="preserve">scenarios, each of which predicts increased </w:t>
      </w:r>
      <w:r w:rsidR="00DC0FC8">
        <w:t xml:space="preserve">labour market </w:t>
      </w:r>
      <w:r>
        <w:t>volatility.</w:t>
      </w:r>
      <w:r w:rsidR="003A3A47">
        <w:rPr>
          <w:rStyle w:val="FootnoteReference"/>
        </w:rPr>
        <w:footnoteReference w:id="11"/>
      </w:r>
      <w:r w:rsidR="00247D17">
        <w:t xml:space="preserve"> The NUS</w:t>
      </w:r>
      <w:r w:rsidR="00EC713E">
        <w:t xml:space="preserve"> also </w:t>
      </w:r>
      <w:r w:rsidR="00DD770B">
        <w:t>sees the present and future as characterised by anxiety around ‘wider labour market challenges, education reform, the employability of young people, guidance and choices for education and careers.’</w:t>
      </w:r>
      <w:r w:rsidR="003A3A47">
        <w:rPr>
          <w:rStyle w:val="FootnoteReference"/>
        </w:rPr>
        <w:footnoteReference w:id="12"/>
      </w:r>
      <w:r w:rsidR="004705B9">
        <w:t xml:space="preserve"> </w:t>
      </w:r>
      <w:r w:rsidR="001A4ED3">
        <w:t xml:space="preserve">The Higher Education sector </w:t>
      </w:r>
      <w:r w:rsidR="00E34EC8">
        <w:t xml:space="preserve">continues to </w:t>
      </w:r>
      <w:r w:rsidR="00020508">
        <w:t>adapt</w:t>
      </w:r>
      <w:r w:rsidR="00E34EC8">
        <w:t xml:space="preserve"> to the changing expectations and needs of students and society</w:t>
      </w:r>
      <w:r w:rsidR="00F725B1">
        <w:t xml:space="preserve">, </w:t>
      </w:r>
      <w:r w:rsidR="00C76204">
        <w:t>for example by</w:t>
      </w:r>
      <w:r w:rsidR="00F725B1">
        <w:t xml:space="preserve"> ‘embedding enterprise into courses’</w:t>
      </w:r>
      <w:r w:rsidR="007F129A">
        <w:rPr>
          <w:rStyle w:val="FootnoteReference"/>
        </w:rPr>
        <w:footnoteReference w:id="13"/>
      </w:r>
      <w:r w:rsidR="0037795C">
        <w:t>, partnering with business</w:t>
      </w:r>
      <w:r w:rsidR="007F129A">
        <w:rPr>
          <w:rStyle w:val="FootnoteReference"/>
        </w:rPr>
        <w:footnoteReference w:id="14"/>
      </w:r>
      <w:r w:rsidR="0037795C">
        <w:t xml:space="preserve"> and creating innovative schemes aimed at boostin</w:t>
      </w:r>
      <w:r w:rsidR="009F2C11">
        <w:t>g employability</w:t>
      </w:r>
      <w:r w:rsidR="00C76204">
        <w:t>.</w:t>
      </w:r>
      <w:r w:rsidR="007F129A">
        <w:rPr>
          <w:rStyle w:val="FootnoteReference"/>
        </w:rPr>
        <w:footnoteReference w:id="15"/>
      </w:r>
    </w:p>
    <w:p w14:paraId="72D3D91E" w14:textId="1DA5B6B5" w:rsidR="00A20F09" w:rsidRPr="00A20F09" w:rsidRDefault="00181060" w:rsidP="00A20F09">
      <w:r>
        <w:t>At a time of change in employment patterns,</w:t>
      </w:r>
      <w:r w:rsidR="162BF144">
        <w:t xml:space="preserve"> we have</w:t>
      </w:r>
      <w:r w:rsidR="007D60D7">
        <w:t xml:space="preserve"> </w:t>
      </w:r>
      <w:r w:rsidR="162BF144">
        <w:t>an opportunity to improve efficiency and quality in the sourcing of information about destinations and outcomes from higher education, and an obligation to reflect on future needs for data. This review led by HESA will enable the collective approach necessary to identify and secure the widest range of benefits for data users.</w:t>
      </w:r>
    </w:p>
    <w:p w14:paraId="76090825" w14:textId="29188066" w:rsidR="005D6278" w:rsidRDefault="31F375DE" w:rsidP="005A72E2">
      <w:pPr>
        <w:pStyle w:val="Heading2"/>
      </w:pPr>
      <w:r w:rsidRPr="0098334E">
        <w:t xml:space="preserve">Questions this review </w:t>
      </w:r>
      <w:r w:rsidR="00B81AB5">
        <w:t xml:space="preserve">is intended </w:t>
      </w:r>
      <w:r w:rsidRPr="0098334E">
        <w:t>to answer</w:t>
      </w:r>
    </w:p>
    <w:p w14:paraId="48165F10" w14:textId="04AEB15F" w:rsidR="00B81AB5" w:rsidRPr="005A72E2" w:rsidRDefault="162BF144" w:rsidP="00E71C2F">
      <w:r>
        <w:t>HESA has identified a range of initial questions that should be answered by this review. Through debate and consultation, the review will construct a compelling business case for change.</w:t>
      </w:r>
    </w:p>
    <w:p w14:paraId="0AC8F875" w14:textId="78AD7598" w:rsidR="00183E40" w:rsidRDefault="00FE03DA" w:rsidP="005A72E2">
      <w:pPr>
        <w:pStyle w:val="ListParagraph"/>
        <w:numPr>
          <w:ilvl w:val="0"/>
          <w:numId w:val="1"/>
        </w:numPr>
      </w:pPr>
      <w:r>
        <w:t>W</w:t>
      </w:r>
      <w:r w:rsidR="00183E40">
        <w:t>hat data</w:t>
      </w:r>
      <w:r>
        <w:t xml:space="preserve"> will be </w:t>
      </w:r>
      <w:r w:rsidR="00183E40">
        <w:t>made accessible by the SBEE Act</w:t>
      </w:r>
      <w:r w:rsidR="0082778C">
        <w:t xml:space="preserve">, and </w:t>
      </w:r>
      <w:r w:rsidR="0019281C">
        <w:t>in what ways</w:t>
      </w:r>
      <w:r w:rsidR="0082778C">
        <w:t xml:space="preserve"> </w:t>
      </w:r>
      <w:r w:rsidR="0019281C">
        <w:t>can they be used</w:t>
      </w:r>
      <w:r>
        <w:t>?</w:t>
      </w:r>
    </w:p>
    <w:p w14:paraId="301E1BC5" w14:textId="4010E51C" w:rsidR="002F510C" w:rsidRDefault="0082778C" w:rsidP="005A72E2">
      <w:pPr>
        <w:pStyle w:val="ListParagraph"/>
        <w:numPr>
          <w:ilvl w:val="0"/>
          <w:numId w:val="1"/>
        </w:numPr>
      </w:pPr>
      <w:r>
        <w:t>Given</w:t>
      </w:r>
      <w:r w:rsidR="00FE03DA">
        <w:t xml:space="preserve"> the </w:t>
      </w:r>
      <w:r>
        <w:t xml:space="preserve">availability of </w:t>
      </w:r>
      <w:r w:rsidR="00FE03DA">
        <w:t>SBEE Act data</w:t>
      </w:r>
      <w:r>
        <w:t>, what other</w:t>
      </w:r>
      <w:r w:rsidR="00BC181E">
        <w:t xml:space="preserve"> </w:t>
      </w:r>
      <w:r>
        <w:t xml:space="preserve">requirements do we have for </w:t>
      </w:r>
      <w:r w:rsidR="7BA13E32">
        <w:t>i</w:t>
      </w:r>
      <w:r w:rsidR="00BC181E">
        <w:t>nformation</w:t>
      </w:r>
      <w:r w:rsidR="6DEBF66C" w:rsidRPr="6DEBF66C">
        <w:t xml:space="preserve"> </w:t>
      </w:r>
      <w:r w:rsidR="002F510C">
        <w:t>about what happens to leavers from higher education?</w:t>
      </w:r>
    </w:p>
    <w:p w14:paraId="2CA4F263" w14:textId="4716A14F" w:rsidR="00626428" w:rsidRDefault="00BC181E" w:rsidP="00626428">
      <w:pPr>
        <w:pStyle w:val="ListParagraph"/>
        <w:numPr>
          <w:ilvl w:val="0"/>
          <w:numId w:val="1"/>
        </w:numPr>
      </w:pPr>
      <w:r>
        <w:t xml:space="preserve">What </w:t>
      </w:r>
      <w:r w:rsidR="0082778C">
        <w:t xml:space="preserve">student </w:t>
      </w:r>
      <w:r>
        <w:t>data might be required to contextualise destinations data</w:t>
      </w:r>
      <w:r w:rsidRPr="0A71D892">
        <w:t>?</w:t>
      </w:r>
      <w:r w:rsidR="67FAB47A" w:rsidRPr="67FAB47A">
        <w:t xml:space="preserve"> For instance, better data on placements or </w:t>
      </w:r>
      <w:r w:rsidR="0A71D892" w:rsidRPr="0A71D892">
        <w:t>study patterns.</w:t>
      </w:r>
    </w:p>
    <w:p w14:paraId="084415FF" w14:textId="46BD6F49" w:rsidR="00626428" w:rsidRDefault="00626428" w:rsidP="00626428">
      <w:pPr>
        <w:pStyle w:val="ListParagraph"/>
        <w:numPr>
          <w:ilvl w:val="0"/>
          <w:numId w:val="1"/>
        </w:numPr>
      </w:pPr>
      <w:r>
        <w:t>What are our remaining needs for post-study survey information</w:t>
      </w:r>
      <w:r w:rsidR="00DF47E6">
        <w:t>, if any</w:t>
      </w:r>
      <w:r>
        <w:t>?</w:t>
      </w:r>
    </w:p>
    <w:p w14:paraId="3E279560" w14:textId="370C8186" w:rsidR="0082778C" w:rsidRDefault="00626428" w:rsidP="00626428">
      <w:pPr>
        <w:pStyle w:val="ListParagraph"/>
        <w:numPr>
          <w:ilvl w:val="0"/>
          <w:numId w:val="1"/>
        </w:numPr>
      </w:pPr>
      <w:r>
        <w:t xml:space="preserve"> </w:t>
      </w:r>
      <w:r w:rsidR="0082778C">
        <w:t xml:space="preserve">What methodological improvements </w:t>
      </w:r>
      <w:r w:rsidR="00F1126E">
        <w:t>can we make to reduce costs, and to improve consistency</w:t>
      </w:r>
      <w:r w:rsidR="0082778C">
        <w:t>?</w:t>
      </w:r>
      <w:r w:rsidR="00B81AB5">
        <w:t xml:space="preserve"> Consider</w:t>
      </w:r>
      <w:r>
        <w:t>ation should be given to the</w:t>
      </w:r>
      <w:r w:rsidR="00B81AB5">
        <w:t xml:space="preserve"> benefits of centralization.</w:t>
      </w:r>
    </w:p>
    <w:p w14:paraId="3253CA91" w14:textId="089670A6" w:rsidR="00F1126E" w:rsidRDefault="0058105C" w:rsidP="005A72E2">
      <w:pPr>
        <w:pStyle w:val="ListParagraph"/>
        <w:numPr>
          <w:ilvl w:val="0"/>
          <w:numId w:val="1"/>
        </w:numPr>
      </w:pPr>
      <w:r>
        <w:t>How complete a picture should the data provide?</w:t>
      </w:r>
    </w:p>
    <w:p w14:paraId="45121324" w14:textId="310ACCB4" w:rsidR="0058105C" w:rsidRDefault="0058105C" w:rsidP="005A72E2">
      <w:pPr>
        <w:pStyle w:val="ListParagraph"/>
        <w:numPr>
          <w:ilvl w:val="0"/>
          <w:numId w:val="1"/>
        </w:numPr>
      </w:pPr>
      <w:r>
        <w:t>When would data be most timely?</w:t>
      </w:r>
    </w:p>
    <w:p w14:paraId="7498B3C9" w14:textId="15030687" w:rsidR="002F510C" w:rsidRDefault="002F510C" w:rsidP="005A72E2">
      <w:pPr>
        <w:pStyle w:val="ListParagraph"/>
        <w:numPr>
          <w:ilvl w:val="0"/>
          <w:numId w:val="1"/>
        </w:numPr>
      </w:pPr>
      <w:r>
        <w:t>How should data collection activities relate to HE providers’ careers support for graduates?</w:t>
      </w:r>
    </w:p>
    <w:p w14:paraId="7680F73D" w14:textId="77777777" w:rsidR="0019281C" w:rsidRDefault="0058105C" w:rsidP="003F6E36">
      <w:pPr>
        <w:pStyle w:val="ListParagraph"/>
        <w:numPr>
          <w:ilvl w:val="0"/>
          <w:numId w:val="1"/>
        </w:numPr>
      </w:pPr>
      <w:r>
        <w:t>What</w:t>
      </w:r>
      <w:r w:rsidR="0082778C">
        <w:t xml:space="preserve"> specific measures </w:t>
      </w:r>
      <w:r>
        <w:t>do</w:t>
      </w:r>
      <w:r w:rsidR="0082778C">
        <w:t xml:space="preserve"> we wish to obtain from these data?</w:t>
      </w:r>
    </w:p>
    <w:p w14:paraId="4B93D66F" w14:textId="4C99C357" w:rsidR="00161B36" w:rsidRDefault="00161B36" w:rsidP="003F6E36">
      <w:pPr>
        <w:pStyle w:val="ListParagraph"/>
        <w:numPr>
          <w:ilvl w:val="0"/>
          <w:numId w:val="1"/>
        </w:numPr>
      </w:pPr>
      <w:r>
        <w:t>What level of detail is required</w:t>
      </w:r>
      <w:r w:rsidR="0058105C">
        <w:t xml:space="preserve"> </w:t>
      </w:r>
      <w:r w:rsidR="009C660B">
        <w:t xml:space="preserve">in order </w:t>
      </w:r>
      <w:r w:rsidR="0058105C">
        <w:t xml:space="preserve">to make the data useful for </w:t>
      </w:r>
      <w:r w:rsidR="00BC181E">
        <w:t>analysis?</w:t>
      </w:r>
    </w:p>
    <w:p w14:paraId="3CDF76CB" w14:textId="17FBCE44" w:rsidR="00E71C2F" w:rsidRPr="00E71C2F" w:rsidRDefault="4492CD4A" w:rsidP="005A72E2">
      <w:pPr>
        <w:pStyle w:val="Heading2"/>
      </w:pPr>
      <w:r w:rsidRPr="005A72E2">
        <w:lastRenderedPageBreak/>
        <w:t>References</w:t>
      </w:r>
    </w:p>
    <w:p w14:paraId="0E6138E4" w14:textId="2AE7106B" w:rsidR="00183E40" w:rsidRPr="005A72E2" w:rsidRDefault="00DD770B">
      <w:pPr>
        <w:rPr>
          <w:rFonts w:ascii="Calibri" w:eastAsia="Calibri" w:hAnsi="Calibri" w:cs="Calibri"/>
          <w:sz w:val="19"/>
          <w:szCs w:val="19"/>
        </w:rPr>
      </w:pPr>
      <w:r w:rsidRPr="005A72E2">
        <w:rPr>
          <w:rFonts w:ascii="Calibri" w:eastAsia="Calibri" w:hAnsi="Calibri" w:cs="Calibri"/>
          <w:sz w:val="19"/>
          <w:szCs w:val="19"/>
        </w:rPr>
        <w:t xml:space="preserve">BIS – the </w:t>
      </w:r>
      <w:r w:rsidR="00183E40" w:rsidRPr="005A72E2">
        <w:rPr>
          <w:rFonts w:ascii="Calibri" w:eastAsia="Calibri" w:hAnsi="Calibri" w:cs="Calibri"/>
          <w:sz w:val="19"/>
          <w:szCs w:val="19"/>
        </w:rPr>
        <w:t xml:space="preserve">Department for Business, Innovation and Skills. (2014). Small Business, Enterprise and Employment (SBEE) Act - Education Evaluation fact sheet - GOV.UK (Factsheet No. BIS/15/267). London: GOV.UK. Retrieved from </w:t>
      </w:r>
      <w:hyperlink r:id="rId11" w:anchor="education-evaluation-part-6" w:history="1">
        <w:r w:rsidR="00723FF6" w:rsidRPr="005A72E2">
          <w:rPr>
            <w:rStyle w:val="Hyperlink"/>
            <w:rFonts w:ascii="Calibri" w:eastAsia="Calibri" w:hAnsi="Calibri" w:cs="Calibri"/>
            <w:sz w:val="19"/>
            <w:szCs w:val="19"/>
          </w:rPr>
          <w:t>https://www.gov.uk/government/collections/small-business-enterprise-and-employment-bill#education-evaluation-part-6</w:t>
        </w:r>
      </w:hyperlink>
      <w:r w:rsidR="00723FF6" w:rsidRPr="005A72E2">
        <w:rPr>
          <w:rFonts w:ascii="Calibri" w:eastAsia="Calibri" w:hAnsi="Calibri" w:cs="Calibri"/>
          <w:sz w:val="19"/>
          <w:szCs w:val="19"/>
        </w:rPr>
        <w:t xml:space="preserve">. Direct link: </w:t>
      </w:r>
      <w:hyperlink r:id="rId12" w:history="1">
        <w:r w:rsidR="00723FF6" w:rsidRPr="005A72E2">
          <w:rPr>
            <w:rStyle w:val="Hyperlink"/>
            <w:rFonts w:ascii="Calibri" w:eastAsia="Calibri" w:hAnsi="Calibri" w:cs="Calibri"/>
            <w:sz w:val="19"/>
            <w:szCs w:val="19"/>
          </w:rPr>
          <w:t>https://www.gov.uk/government/uploads/system/uploads/attachment_data/file/417327/bis_15_267_SBEE_Act_Education_Evaluation_Fact_sheet.pdf</w:t>
        </w:r>
      </w:hyperlink>
      <w:r w:rsidR="00723FF6" w:rsidRPr="005A72E2">
        <w:rPr>
          <w:rFonts w:ascii="Calibri" w:eastAsia="Calibri" w:hAnsi="Calibri" w:cs="Calibri"/>
          <w:sz w:val="19"/>
          <w:szCs w:val="19"/>
        </w:rPr>
        <w:t xml:space="preserve"> </w:t>
      </w:r>
    </w:p>
    <w:p w14:paraId="29E47C7F" w14:textId="3B9547D8" w:rsidR="0014529D" w:rsidRPr="005A72E2" w:rsidRDefault="0014529D">
      <w:pPr>
        <w:rPr>
          <w:rFonts w:ascii="Calibri" w:eastAsia="Calibri" w:hAnsi="Calibri" w:cs="Calibri"/>
          <w:sz w:val="19"/>
          <w:szCs w:val="19"/>
        </w:rPr>
      </w:pPr>
      <w:r w:rsidRPr="005A72E2">
        <w:rPr>
          <w:rFonts w:ascii="Calibri" w:eastAsia="Calibri" w:hAnsi="Calibri" w:cs="Calibri"/>
          <w:sz w:val="19"/>
          <w:szCs w:val="19"/>
        </w:rPr>
        <w:t xml:space="preserve">Green, F., &amp; Henseke, G. (2014). </w:t>
      </w:r>
      <w:r w:rsidRPr="005A72E2">
        <w:rPr>
          <w:rFonts w:ascii="Calibri" w:eastAsia="Calibri" w:hAnsi="Calibri" w:cs="Calibri"/>
          <w:i/>
          <w:sz w:val="19"/>
          <w:szCs w:val="19"/>
        </w:rPr>
        <w:t>The Changing Graduate Labour Market:</w:t>
      </w:r>
      <w:r w:rsidR="00625E3E" w:rsidRPr="005A72E2">
        <w:rPr>
          <w:rFonts w:ascii="Calibri" w:eastAsia="Calibri" w:hAnsi="Calibri" w:cs="Calibri"/>
          <w:i/>
          <w:sz w:val="19"/>
          <w:szCs w:val="19"/>
        </w:rPr>
        <w:t xml:space="preserve"> Analysis Using a New Indicator </w:t>
      </w:r>
      <w:r w:rsidRPr="005A72E2">
        <w:rPr>
          <w:rFonts w:ascii="Calibri" w:eastAsia="Calibri" w:hAnsi="Calibri" w:cs="Calibri"/>
          <w:i/>
          <w:sz w:val="19"/>
          <w:szCs w:val="19"/>
        </w:rPr>
        <w:t>of Graduate Jobs</w:t>
      </w:r>
      <w:r w:rsidRPr="005A72E2">
        <w:rPr>
          <w:rFonts w:ascii="Calibri" w:eastAsia="Calibri" w:hAnsi="Calibri" w:cs="Calibri"/>
          <w:sz w:val="19"/>
          <w:szCs w:val="19"/>
        </w:rPr>
        <w:t xml:space="preserve"> </w:t>
      </w:r>
      <w:r w:rsidR="00625E3E" w:rsidRPr="005A72E2">
        <w:rPr>
          <w:rFonts w:ascii="Calibri" w:eastAsia="Calibri" w:hAnsi="Calibri" w:cs="Calibri"/>
          <w:sz w:val="19"/>
          <w:szCs w:val="19"/>
        </w:rPr>
        <w:t>published by t</w:t>
      </w:r>
      <w:r w:rsidRPr="005A72E2">
        <w:rPr>
          <w:rFonts w:ascii="Calibri" w:eastAsia="Calibri" w:hAnsi="Calibri" w:cs="Calibri"/>
          <w:sz w:val="19"/>
          <w:szCs w:val="19"/>
        </w:rPr>
        <w:t xml:space="preserve">he Centre for Learning and Life Chances in Knowledge Economies and  Societies. Retrieved from </w:t>
      </w:r>
      <w:hyperlink r:id="rId13" w:history="1">
        <w:r w:rsidR="00625E3E" w:rsidRPr="005A72E2">
          <w:rPr>
            <w:rStyle w:val="Hyperlink"/>
            <w:rFonts w:ascii="Calibri" w:eastAsia="Calibri" w:hAnsi="Calibri" w:cs="Calibri"/>
            <w:sz w:val="19"/>
            <w:szCs w:val="19"/>
          </w:rPr>
          <w:t>http://www.llakes.org/</w:t>
        </w:r>
      </w:hyperlink>
      <w:r w:rsidR="00625E3E" w:rsidRPr="005A72E2">
        <w:rPr>
          <w:rFonts w:ascii="Calibri" w:eastAsia="Calibri" w:hAnsi="Calibri" w:cs="Calibri"/>
          <w:sz w:val="19"/>
          <w:szCs w:val="19"/>
        </w:rPr>
        <w:t xml:space="preserve"> </w:t>
      </w:r>
    </w:p>
    <w:p w14:paraId="6D985B83" w14:textId="6C338B7C" w:rsidR="007B4F49" w:rsidRPr="005A72E2" w:rsidRDefault="007B4F49">
      <w:pPr>
        <w:rPr>
          <w:rFonts w:ascii="Calibri" w:eastAsia="Calibri" w:hAnsi="Calibri" w:cs="Calibri"/>
          <w:sz w:val="19"/>
          <w:szCs w:val="19"/>
        </w:rPr>
      </w:pPr>
      <w:r w:rsidRPr="005A72E2">
        <w:rPr>
          <w:rFonts w:ascii="Calibri" w:eastAsia="Calibri" w:hAnsi="Calibri" w:cs="Calibri"/>
          <w:sz w:val="19"/>
          <w:szCs w:val="19"/>
        </w:rPr>
        <w:t xml:space="preserve">Hackett, L., Shutt, L., &amp; Maclachlan, N. (2012). The way we’ll work: Labour market trends and preparing for the hourglass. AGCAS and University Alliance. Retrieved from </w:t>
      </w:r>
      <w:hyperlink r:id="rId14" w:history="1">
        <w:r w:rsidRPr="005A72E2">
          <w:rPr>
            <w:rStyle w:val="Hyperlink"/>
            <w:rFonts w:ascii="Calibri" w:eastAsia="Calibri" w:hAnsi="Calibri" w:cs="Calibri"/>
            <w:sz w:val="19"/>
            <w:szCs w:val="19"/>
          </w:rPr>
          <w:t>http://www.agcas.org.uk/agcas_resources/567-The-way-we-ll-work-Labour-market-trends-and-preparing-for-the-hourglass</w:t>
        </w:r>
      </w:hyperlink>
      <w:r w:rsidRPr="005A72E2">
        <w:rPr>
          <w:rFonts w:ascii="Calibri" w:eastAsia="Calibri" w:hAnsi="Calibri" w:cs="Calibri"/>
          <w:sz w:val="19"/>
          <w:szCs w:val="19"/>
        </w:rPr>
        <w:t xml:space="preserve"> </w:t>
      </w:r>
    </w:p>
    <w:p w14:paraId="3727FE86" w14:textId="16EBB588" w:rsidR="00C76204" w:rsidRPr="005A72E2" w:rsidRDefault="00C76204">
      <w:pPr>
        <w:rPr>
          <w:rFonts w:ascii="Calibri" w:eastAsia="Calibri" w:hAnsi="Calibri" w:cs="Calibri"/>
          <w:sz w:val="19"/>
          <w:szCs w:val="19"/>
        </w:rPr>
      </w:pPr>
      <w:r w:rsidRPr="005A72E2">
        <w:rPr>
          <w:rFonts w:ascii="Calibri" w:eastAsia="Calibri" w:hAnsi="Calibri" w:cs="Calibri"/>
          <w:sz w:val="19"/>
          <w:szCs w:val="19"/>
        </w:rPr>
        <w:t xml:space="preserve">HEFCE, Higher Education Funding Council for England (2011). Approaches to measuring employment circumstances of recent graduates (Issues paper No. 2011/02). Bristol. Retrieved from </w:t>
      </w:r>
      <w:hyperlink r:id="rId15" w:history="1">
        <w:r w:rsidRPr="005A72E2">
          <w:rPr>
            <w:rStyle w:val="Hyperlink"/>
            <w:rFonts w:ascii="Calibri" w:eastAsia="Calibri" w:hAnsi="Calibri" w:cs="Calibri"/>
            <w:sz w:val="19"/>
            <w:szCs w:val="19"/>
          </w:rPr>
          <w:t>http://www.hefce.ac.uk/pubs/year/2011/201102/</w:t>
        </w:r>
      </w:hyperlink>
      <w:r w:rsidRPr="005A72E2">
        <w:rPr>
          <w:rFonts w:ascii="Calibri" w:eastAsia="Calibri" w:hAnsi="Calibri" w:cs="Calibri"/>
          <w:sz w:val="19"/>
          <w:szCs w:val="19"/>
        </w:rPr>
        <w:t xml:space="preserve"> </w:t>
      </w:r>
    </w:p>
    <w:p w14:paraId="147725D2" w14:textId="145C1966" w:rsidR="009F2C11" w:rsidRPr="005A72E2" w:rsidRDefault="009F2C11">
      <w:pPr>
        <w:rPr>
          <w:rFonts w:ascii="Calibri" w:eastAsia="Calibri" w:hAnsi="Calibri" w:cs="Calibri"/>
          <w:sz w:val="19"/>
          <w:szCs w:val="19"/>
        </w:rPr>
      </w:pPr>
      <w:r w:rsidRPr="005A72E2">
        <w:rPr>
          <w:rFonts w:ascii="Calibri" w:eastAsia="Calibri" w:hAnsi="Calibri" w:cs="Calibri"/>
          <w:sz w:val="19"/>
          <w:szCs w:val="19"/>
        </w:rPr>
        <w:t xml:space="preserve">Huddersfield, U. of. (2014, October 9). Enterprise and Entrepreneurship - University of Huddersfield. Retrieved April 28, 2015, from </w:t>
      </w:r>
      <w:hyperlink r:id="rId16" w:history="1">
        <w:r w:rsidRPr="005A72E2">
          <w:rPr>
            <w:rStyle w:val="Hyperlink"/>
            <w:rFonts w:ascii="Calibri" w:eastAsia="Calibri" w:hAnsi="Calibri" w:cs="Calibri"/>
            <w:sz w:val="19"/>
            <w:szCs w:val="19"/>
          </w:rPr>
          <w:t>http://www.hud.ac.uk/enterpriseandentrepreneurship/</w:t>
        </w:r>
      </w:hyperlink>
      <w:r w:rsidRPr="005A72E2">
        <w:rPr>
          <w:rFonts w:ascii="Calibri" w:eastAsia="Calibri" w:hAnsi="Calibri" w:cs="Calibri"/>
          <w:sz w:val="19"/>
          <w:szCs w:val="19"/>
        </w:rPr>
        <w:t xml:space="preserve"> </w:t>
      </w:r>
    </w:p>
    <w:p w14:paraId="1080AB36" w14:textId="3B134E70" w:rsidR="007D60D7" w:rsidRDefault="007D60D7">
      <w:pPr>
        <w:rPr>
          <w:rFonts w:ascii="Calibri" w:eastAsia="Calibri" w:hAnsi="Calibri" w:cs="Calibri"/>
          <w:sz w:val="19"/>
          <w:szCs w:val="19"/>
        </w:rPr>
      </w:pPr>
      <w:r w:rsidRPr="007D60D7">
        <w:rPr>
          <w:rFonts w:ascii="Calibri" w:eastAsia="Calibri" w:hAnsi="Calibri" w:cs="Calibri"/>
          <w:sz w:val="19"/>
          <w:szCs w:val="19"/>
        </w:rPr>
        <w:t xml:space="preserve">Johnson, J. (2015, July 1). Teaching at the heart of the system - Speeches - GOV.UK. Retrieved July 2, 2015, from </w:t>
      </w:r>
      <w:hyperlink r:id="rId17" w:history="1">
        <w:r w:rsidRPr="003D42B3">
          <w:rPr>
            <w:rStyle w:val="Hyperlink"/>
            <w:rFonts w:ascii="Calibri" w:eastAsia="Calibri" w:hAnsi="Calibri" w:cs="Calibri"/>
            <w:sz w:val="19"/>
            <w:szCs w:val="19"/>
          </w:rPr>
          <w:t>https://www.gov.uk/government/speeches/teaching-at-the-heart-of-the-system</w:t>
        </w:r>
      </w:hyperlink>
      <w:r>
        <w:rPr>
          <w:rFonts w:ascii="Calibri" w:eastAsia="Calibri" w:hAnsi="Calibri" w:cs="Calibri"/>
          <w:sz w:val="19"/>
          <w:szCs w:val="19"/>
        </w:rPr>
        <w:t xml:space="preserve"> </w:t>
      </w:r>
    </w:p>
    <w:p w14:paraId="5BFA65A8" w14:textId="7DEAED37" w:rsidR="0037795C" w:rsidRPr="005A72E2" w:rsidRDefault="0037795C">
      <w:pPr>
        <w:rPr>
          <w:rFonts w:ascii="Calibri" w:eastAsia="Calibri" w:hAnsi="Calibri" w:cs="Calibri"/>
          <w:sz w:val="19"/>
          <w:szCs w:val="19"/>
        </w:rPr>
      </w:pPr>
      <w:r w:rsidRPr="005A72E2">
        <w:rPr>
          <w:rFonts w:ascii="Calibri" w:eastAsia="Calibri" w:hAnsi="Calibri" w:cs="Calibri"/>
          <w:sz w:val="19"/>
          <w:szCs w:val="19"/>
        </w:rPr>
        <w:t xml:space="preserve">Lincoln, U. of. (2011). School of Engineering. Retrieved April 28, 2015, from </w:t>
      </w:r>
      <w:hyperlink r:id="rId18" w:history="1">
        <w:r w:rsidRPr="005A72E2">
          <w:rPr>
            <w:rStyle w:val="Hyperlink"/>
            <w:rFonts w:ascii="Calibri" w:eastAsia="Calibri" w:hAnsi="Calibri" w:cs="Calibri"/>
            <w:sz w:val="19"/>
            <w:szCs w:val="19"/>
          </w:rPr>
          <w:t>https://www.lincoln.ac.uk/home/engineering/</w:t>
        </w:r>
      </w:hyperlink>
      <w:r w:rsidRPr="005A72E2">
        <w:rPr>
          <w:rFonts w:ascii="Calibri" w:eastAsia="Calibri" w:hAnsi="Calibri" w:cs="Calibri"/>
          <w:sz w:val="19"/>
          <w:szCs w:val="19"/>
        </w:rPr>
        <w:t xml:space="preserve"> </w:t>
      </w:r>
    </w:p>
    <w:p w14:paraId="1A09C8A3" w14:textId="70DA4C91" w:rsidR="0037795C" w:rsidRPr="005A72E2" w:rsidRDefault="0037795C">
      <w:pPr>
        <w:rPr>
          <w:rFonts w:ascii="Calibri" w:eastAsia="Calibri" w:hAnsi="Calibri" w:cs="Calibri"/>
          <w:sz w:val="19"/>
          <w:szCs w:val="19"/>
        </w:rPr>
      </w:pPr>
      <w:r w:rsidRPr="005A72E2">
        <w:rPr>
          <w:rFonts w:ascii="Calibri" w:eastAsia="Calibri" w:hAnsi="Calibri" w:cs="Calibri"/>
          <w:sz w:val="19"/>
          <w:szCs w:val="19"/>
        </w:rPr>
        <w:t xml:space="preserve">Maguire, D. (2014, February 11). Improving Student Employability. Retrieved from </w:t>
      </w:r>
      <w:hyperlink r:id="rId19" w:history="1">
        <w:r w:rsidRPr="005A72E2">
          <w:rPr>
            <w:rStyle w:val="Hyperlink"/>
            <w:rFonts w:ascii="Calibri" w:eastAsia="Calibri" w:hAnsi="Calibri" w:cs="Calibri"/>
            <w:sz w:val="19"/>
            <w:szCs w:val="19"/>
          </w:rPr>
          <w:t>http://blogs.gre.ac.uk/vc/2014/02/11/improving-student-employability/</w:t>
        </w:r>
      </w:hyperlink>
      <w:r w:rsidRPr="005A72E2">
        <w:rPr>
          <w:rFonts w:ascii="Calibri" w:eastAsia="Calibri" w:hAnsi="Calibri" w:cs="Calibri"/>
          <w:sz w:val="19"/>
          <w:szCs w:val="19"/>
        </w:rPr>
        <w:t xml:space="preserve"> </w:t>
      </w:r>
    </w:p>
    <w:p w14:paraId="4147BA35" w14:textId="01DF5A30" w:rsidR="00DD770B" w:rsidRPr="005A72E2" w:rsidRDefault="00DD770B">
      <w:pPr>
        <w:rPr>
          <w:rFonts w:ascii="Calibri" w:eastAsia="Calibri" w:hAnsi="Calibri" w:cs="Calibri"/>
          <w:sz w:val="19"/>
          <w:szCs w:val="19"/>
        </w:rPr>
      </w:pPr>
      <w:r w:rsidRPr="005A72E2">
        <w:rPr>
          <w:rFonts w:ascii="Calibri" w:eastAsia="Calibri" w:hAnsi="Calibri" w:cs="Calibri"/>
          <w:sz w:val="19"/>
          <w:szCs w:val="19"/>
        </w:rPr>
        <w:t xml:space="preserve">NUS – the National Union of Students. (2015). Commission on the Future of Work. National Union of Students. Retrieved from </w:t>
      </w:r>
      <w:hyperlink r:id="rId20" w:history="1">
        <w:r w:rsidR="00DC0FC8" w:rsidRPr="005A72E2">
          <w:rPr>
            <w:rStyle w:val="Hyperlink"/>
            <w:rFonts w:ascii="Calibri" w:eastAsia="Calibri" w:hAnsi="Calibri" w:cs="Calibri"/>
            <w:sz w:val="19"/>
            <w:szCs w:val="19"/>
          </w:rPr>
          <w:t>http://beta.nusconnect.org.uk/resources/commission-on-the-future-of-work</w:t>
        </w:r>
      </w:hyperlink>
      <w:r w:rsidR="00DC0FC8" w:rsidRPr="005A72E2">
        <w:rPr>
          <w:rFonts w:ascii="Calibri" w:eastAsia="Calibri" w:hAnsi="Calibri" w:cs="Calibri"/>
          <w:sz w:val="19"/>
          <w:szCs w:val="19"/>
        </w:rPr>
        <w:t xml:space="preserve"> </w:t>
      </w:r>
    </w:p>
    <w:p w14:paraId="0897DA17" w14:textId="41F122A8" w:rsidR="4492CD4A" w:rsidRPr="005A72E2" w:rsidRDefault="4492CD4A">
      <w:pPr>
        <w:rPr>
          <w:rFonts w:ascii="Calibri" w:eastAsia="Calibri" w:hAnsi="Calibri" w:cs="Calibri"/>
          <w:sz w:val="19"/>
          <w:szCs w:val="19"/>
        </w:rPr>
      </w:pPr>
      <w:r w:rsidRPr="005A72E2">
        <w:rPr>
          <w:rFonts w:ascii="Calibri" w:eastAsia="Calibri" w:hAnsi="Calibri" w:cs="Calibri"/>
          <w:sz w:val="19"/>
          <w:szCs w:val="19"/>
        </w:rPr>
        <w:t xml:space="preserve">Purcell, K., Elias, P., Atfield, G., Behle, H., Ellison, R., &amp; Luchinskaya, D. (2013). </w:t>
      </w:r>
      <w:r w:rsidRPr="005A72E2">
        <w:rPr>
          <w:rFonts w:ascii="Calibri" w:eastAsia="Calibri" w:hAnsi="Calibri" w:cs="Calibri"/>
          <w:i/>
          <w:iCs/>
          <w:sz w:val="19"/>
          <w:szCs w:val="19"/>
        </w:rPr>
        <w:t>Transitions into employment, further study and other outcomes: Futuretrack Stage 4 Report</w:t>
      </w:r>
      <w:r w:rsidRPr="005A72E2">
        <w:rPr>
          <w:rFonts w:ascii="Calibri" w:eastAsia="Calibri" w:hAnsi="Calibri" w:cs="Calibri"/>
          <w:sz w:val="19"/>
          <w:szCs w:val="19"/>
        </w:rPr>
        <w:t xml:space="preserve">. University of Warwick Institute for Employment Research. Retrieved from </w:t>
      </w:r>
      <w:hyperlink r:id="rId21" w:history="1">
        <w:r w:rsidR="00723FF6" w:rsidRPr="005A72E2">
          <w:rPr>
            <w:rStyle w:val="Hyperlink"/>
            <w:rFonts w:ascii="Calibri" w:eastAsia="Calibri" w:hAnsi="Calibri" w:cs="Calibri"/>
            <w:sz w:val="19"/>
            <w:szCs w:val="19"/>
          </w:rPr>
          <w:t>http://www2.warwick.ac.uk/fac/soc/ier/futuretrack/stage_4_report_final_30_10_2013.pdf</w:t>
        </w:r>
      </w:hyperlink>
      <w:r w:rsidR="00723FF6" w:rsidRPr="005A72E2">
        <w:rPr>
          <w:rFonts w:ascii="Calibri" w:eastAsia="Calibri" w:hAnsi="Calibri" w:cs="Calibri"/>
          <w:sz w:val="19"/>
          <w:szCs w:val="19"/>
        </w:rPr>
        <w:t xml:space="preserve"> </w:t>
      </w:r>
    </w:p>
    <w:p w14:paraId="421426CE" w14:textId="1D7B16CD" w:rsidR="00F725B1" w:rsidRPr="005A72E2" w:rsidRDefault="00F725B1">
      <w:pPr>
        <w:rPr>
          <w:rFonts w:ascii="Calibri" w:eastAsia="Calibri" w:hAnsi="Calibri" w:cs="Calibri"/>
          <w:sz w:val="19"/>
          <w:szCs w:val="19"/>
        </w:rPr>
      </w:pPr>
      <w:r w:rsidRPr="005A72E2">
        <w:rPr>
          <w:rFonts w:ascii="Calibri" w:eastAsia="Calibri" w:hAnsi="Calibri" w:cs="Calibri"/>
          <w:sz w:val="19"/>
          <w:szCs w:val="19"/>
        </w:rPr>
        <w:t xml:space="preserve">Riordan, C. (2013, December 20). What’s business got to do with universities? Retrieved April 28, 2015, from </w:t>
      </w:r>
      <w:hyperlink r:id="rId22" w:history="1">
        <w:r w:rsidRPr="005A72E2">
          <w:rPr>
            <w:rStyle w:val="Hyperlink"/>
            <w:rFonts w:ascii="Calibri" w:eastAsia="Calibri" w:hAnsi="Calibri" w:cs="Calibri"/>
            <w:sz w:val="19"/>
            <w:szCs w:val="19"/>
          </w:rPr>
          <w:t>http://www.ncub.co.uk/blog/what-s-business-got-to-do-with-universities.html</w:t>
        </w:r>
      </w:hyperlink>
      <w:r w:rsidRPr="005A72E2">
        <w:rPr>
          <w:rFonts w:ascii="Calibri" w:eastAsia="Calibri" w:hAnsi="Calibri" w:cs="Calibri"/>
          <w:sz w:val="19"/>
          <w:szCs w:val="19"/>
        </w:rPr>
        <w:t xml:space="preserve"> </w:t>
      </w:r>
    </w:p>
    <w:p w14:paraId="24B8FA03" w14:textId="1A33773C" w:rsidR="00783E92" w:rsidRPr="005A72E2" w:rsidRDefault="00783E92">
      <w:pPr>
        <w:rPr>
          <w:rFonts w:ascii="Calibri" w:eastAsia="Calibri" w:hAnsi="Calibri" w:cs="Calibri"/>
          <w:sz w:val="19"/>
          <w:szCs w:val="19"/>
        </w:rPr>
      </w:pPr>
      <w:r w:rsidRPr="005A72E2">
        <w:rPr>
          <w:rFonts w:ascii="Calibri" w:eastAsia="Calibri" w:hAnsi="Calibri" w:cs="Calibri"/>
          <w:sz w:val="19"/>
          <w:szCs w:val="19"/>
        </w:rPr>
        <w:t xml:space="preserve">Skills Commission. (2014). Still in tune? - the skills system and the changing structures of work. London. Retrieved from </w:t>
      </w:r>
      <w:hyperlink r:id="rId23" w:history="1">
        <w:r w:rsidRPr="005A72E2">
          <w:rPr>
            <w:rStyle w:val="Hyperlink"/>
            <w:rFonts w:ascii="Calibri" w:eastAsia="Calibri" w:hAnsi="Calibri" w:cs="Calibri"/>
            <w:sz w:val="19"/>
            <w:szCs w:val="19"/>
          </w:rPr>
          <w:t>http://www.policyconnect.org.uk/research/still-tune-skills-system-and-changing-structures-work</w:t>
        </w:r>
      </w:hyperlink>
      <w:r w:rsidRPr="005A72E2">
        <w:rPr>
          <w:rFonts w:ascii="Calibri" w:eastAsia="Calibri" w:hAnsi="Calibri" w:cs="Calibri"/>
          <w:sz w:val="19"/>
          <w:szCs w:val="19"/>
        </w:rPr>
        <w:t xml:space="preserve"> </w:t>
      </w:r>
    </w:p>
    <w:p w14:paraId="3F4B2C59" w14:textId="591A198B" w:rsidR="00247D17" w:rsidRPr="005A72E2" w:rsidRDefault="002D72E2">
      <w:pPr>
        <w:rPr>
          <w:rFonts w:ascii="Calibri" w:eastAsia="Calibri" w:hAnsi="Calibri" w:cs="Calibri"/>
          <w:sz w:val="19"/>
          <w:szCs w:val="19"/>
        </w:rPr>
      </w:pPr>
      <w:r w:rsidRPr="005A72E2">
        <w:rPr>
          <w:rFonts w:ascii="Calibri" w:eastAsia="Calibri" w:hAnsi="Calibri" w:cs="Calibri"/>
          <w:sz w:val="19"/>
          <w:szCs w:val="19"/>
        </w:rPr>
        <w:t xml:space="preserve">UKCES - </w:t>
      </w:r>
      <w:r w:rsidR="00EC713E" w:rsidRPr="005A72E2">
        <w:rPr>
          <w:rFonts w:ascii="Calibri" w:eastAsia="Calibri" w:hAnsi="Calibri" w:cs="Calibri"/>
          <w:sz w:val="19"/>
          <w:szCs w:val="19"/>
        </w:rPr>
        <w:t xml:space="preserve">the </w:t>
      </w:r>
      <w:r w:rsidR="00247D17" w:rsidRPr="005A72E2">
        <w:rPr>
          <w:rFonts w:ascii="Calibri" w:eastAsia="Calibri" w:hAnsi="Calibri" w:cs="Calibri"/>
          <w:sz w:val="19"/>
          <w:szCs w:val="19"/>
        </w:rPr>
        <w:t xml:space="preserve">UK Commission for Education and Skills. (2014). The future of work: jobs and skills in 2013 (Evidence report No. 84). GOV.UK. Retrieved from </w:t>
      </w:r>
      <w:hyperlink r:id="rId24" w:history="1">
        <w:r w:rsidR="00247D17" w:rsidRPr="005A72E2">
          <w:rPr>
            <w:rStyle w:val="Hyperlink"/>
            <w:rFonts w:ascii="Calibri" w:eastAsia="Calibri" w:hAnsi="Calibri" w:cs="Calibri"/>
            <w:sz w:val="19"/>
            <w:szCs w:val="19"/>
          </w:rPr>
          <w:t>https://www.gov.uk/government/publications/jobs-and-skills-in-2030</w:t>
        </w:r>
      </w:hyperlink>
      <w:r w:rsidR="00247D17" w:rsidRPr="005A72E2">
        <w:rPr>
          <w:rFonts w:ascii="Calibri" w:eastAsia="Calibri" w:hAnsi="Calibri" w:cs="Calibri"/>
          <w:sz w:val="19"/>
          <w:szCs w:val="19"/>
        </w:rPr>
        <w:t xml:space="preserve"> </w:t>
      </w:r>
    </w:p>
    <w:p w14:paraId="6132B2E6" w14:textId="26BC1FD5" w:rsidR="008C0BBC" w:rsidRDefault="008C0BBC">
      <w:pPr>
        <w:rPr>
          <w:sz w:val="19"/>
          <w:szCs w:val="19"/>
        </w:rPr>
      </w:pPr>
      <w:r w:rsidRPr="00FA1950">
        <w:rPr>
          <w:sz w:val="19"/>
          <w:szCs w:val="19"/>
        </w:rPr>
        <w:t>Universities UK. (2015</w:t>
      </w:r>
      <w:r>
        <w:rPr>
          <w:sz w:val="19"/>
          <w:szCs w:val="19"/>
        </w:rPr>
        <w:t>, June 25</w:t>
      </w:r>
      <w:r w:rsidRPr="00FA1950">
        <w:rPr>
          <w:sz w:val="19"/>
          <w:szCs w:val="19"/>
        </w:rPr>
        <w:t xml:space="preserve">). Why invest in universities? (p. 20). London: Universities UK. Retrieved from </w:t>
      </w:r>
      <w:hyperlink r:id="rId25" w:history="1">
        <w:r w:rsidRPr="00C92776">
          <w:rPr>
            <w:rStyle w:val="Hyperlink"/>
            <w:sz w:val="19"/>
            <w:szCs w:val="19"/>
          </w:rPr>
          <w:t>http://www.universitiesuk.ac.uk/highereducation/Pages/WhyInvestInUniversities.aspx#.VaS-WUZAbRI</w:t>
        </w:r>
      </w:hyperlink>
      <w:r>
        <w:rPr>
          <w:sz w:val="19"/>
          <w:szCs w:val="19"/>
        </w:rPr>
        <w:t xml:space="preserve"> </w:t>
      </w:r>
      <w:r w:rsidRPr="00FA1950">
        <w:rPr>
          <w:sz w:val="19"/>
          <w:szCs w:val="19"/>
        </w:rPr>
        <w:t xml:space="preserve"> </w:t>
      </w:r>
    </w:p>
    <w:p w14:paraId="0937D7EC" w14:textId="3A1CE46C" w:rsidR="002D72E2" w:rsidRPr="005A72E2" w:rsidRDefault="002D72E2">
      <w:pPr>
        <w:rPr>
          <w:sz w:val="19"/>
          <w:szCs w:val="19"/>
        </w:rPr>
      </w:pPr>
      <w:r w:rsidRPr="005A72E2">
        <w:rPr>
          <w:sz w:val="19"/>
          <w:szCs w:val="19"/>
        </w:rPr>
        <w:t>Universities UK (2014</w:t>
      </w:r>
      <w:r w:rsidR="009E2F9D" w:rsidRPr="005A72E2">
        <w:rPr>
          <w:sz w:val="19"/>
          <w:szCs w:val="19"/>
        </w:rPr>
        <w:t>a</w:t>
      </w:r>
      <w:r w:rsidR="008C0BBC">
        <w:rPr>
          <w:sz w:val="19"/>
          <w:szCs w:val="19"/>
        </w:rPr>
        <w:t>, August 07</w:t>
      </w:r>
      <w:r w:rsidRPr="005A72E2">
        <w:rPr>
          <w:sz w:val="19"/>
          <w:szCs w:val="19"/>
        </w:rPr>
        <w:t xml:space="preserve">). Trends in undergraduate recruitment (p. 46). London. Retrieved from </w:t>
      </w:r>
      <w:hyperlink r:id="rId26" w:anchor=".VWQkGkZ1wT8" w:history="1">
        <w:r w:rsidRPr="005A72E2">
          <w:rPr>
            <w:rStyle w:val="Hyperlink"/>
            <w:sz w:val="19"/>
            <w:szCs w:val="19"/>
          </w:rPr>
          <w:t>http://www.universitiesuk.ac.uk/highereducation/Pages/TrendsInUndergradua</w:t>
        </w:r>
        <w:r w:rsidRPr="005A72E2">
          <w:rPr>
            <w:rStyle w:val="Hyperlink"/>
            <w:sz w:val="19"/>
            <w:szCs w:val="19"/>
          </w:rPr>
          <w:t>t</w:t>
        </w:r>
        <w:r w:rsidRPr="005A72E2">
          <w:rPr>
            <w:rStyle w:val="Hyperlink"/>
            <w:sz w:val="19"/>
            <w:szCs w:val="19"/>
          </w:rPr>
          <w:t>eRecruitment.aspx#.VWQkGkZ1wT8</w:t>
        </w:r>
      </w:hyperlink>
      <w:r w:rsidRPr="005A72E2">
        <w:rPr>
          <w:sz w:val="19"/>
          <w:szCs w:val="19"/>
        </w:rPr>
        <w:t xml:space="preserve"> </w:t>
      </w:r>
    </w:p>
    <w:p w14:paraId="663FCBE1" w14:textId="07FCD777" w:rsidR="009E2F9D" w:rsidRPr="005A72E2" w:rsidRDefault="009E2F9D">
      <w:pPr>
        <w:rPr>
          <w:sz w:val="19"/>
          <w:szCs w:val="19"/>
        </w:rPr>
      </w:pPr>
      <w:r w:rsidRPr="005A72E2">
        <w:rPr>
          <w:sz w:val="19"/>
          <w:szCs w:val="19"/>
        </w:rPr>
        <w:t>Universities UK. (2014</w:t>
      </w:r>
      <w:r w:rsidR="00023C49" w:rsidRPr="005A72E2">
        <w:rPr>
          <w:sz w:val="19"/>
          <w:szCs w:val="19"/>
        </w:rPr>
        <w:t>b</w:t>
      </w:r>
      <w:r w:rsidR="008C0BBC">
        <w:rPr>
          <w:sz w:val="19"/>
          <w:szCs w:val="19"/>
        </w:rPr>
        <w:t>, September 22</w:t>
      </w:r>
      <w:r w:rsidRPr="005A72E2">
        <w:rPr>
          <w:sz w:val="19"/>
          <w:szCs w:val="19"/>
        </w:rPr>
        <w:t xml:space="preserve">). Forging Futures: Building higher level skills through university and employer collaboration. Retrieved from </w:t>
      </w:r>
      <w:hyperlink r:id="rId27" w:anchor=".VWR9EkZ1wT8" w:history="1">
        <w:r w:rsidRPr="005A72E2">
          <w:rPr>
            <w:rStyle w:val="Hyperlink"/>
            <w:sz w:val="19"/>
            <w:szCs w:val="19"/>
          </w:rPr>
          <w:t>http://www.universitiesuk.ac.uk/highereducation/Pag</w:t>
        </w:r>
        <w:r w:rsidRPr="005A72E2">
          <w:rPr>
            <w:rStyle w:val="Hyperlink"/>
            <w:sz w:val="19"/>
            <w:szCs w:val="19"/>
          </w:rPr>
          <w:t>e</w:t>
        </w:r>
        <w:r w:rsidRPr="005A72E2">
          <w:rPr>
            <w:rStyle w:val="Hyperlink"/>
            <w:sz w:val="19"/>
            <w:szCs w:val="19"/>
          </w:rPr>
          <w:t>s/ForgingFutures.aspx#.VWR9EkZ1wT8</w:t>
        </w:r>
      </w:hyperlink>
      <w:r w:rsidRPr="005A72E2">
        <w:rPr>
          <w:sz w:val="19"/>
          <w:szCs w:val="19"/>
        </w:rPr>
        <w:t xml:space="preserve"> </w:t>
      </w:r>
    </w:p>
    <w:p w14:paraId="70B43AC1" w14:textId="24BFFAD9" w:rsidR="00247D17" w:rsidRPr="005A72E2" w:rsidRDefault="008C0BBC">
      <w:pPr>
        <w:rPr>
          <w:sz w:val="19"/>
          <w:szCs w:val="19"/>
        </w:rPr>
      </w:pPr>
      <w:r>
        <w:rPr>
          <w:sz w:val="19"/>
          <w:szCs w:val="19"/>
        </w:rPr>
        <w:t>Universities UK (2010, September 07</w:t>
      </w:r>
      <w:r w:rsidR="00277BB0" w:rsidRPr="005A72E2">
        <w:rPr>
          <w:sz w:val="19"/>
          <w:szCs w:val="19"/>
        </w:rPr>
        <w:t xml:space="preserve">). Changes in student choices and graduate employment (p. 81). London. Retrieved from </w:t>
      </w:r>
      <w:hyperlink r:id="rId28" w:history="1">
        <w:r w:rsidR="00277BB0" w:rsidRPr="005A72E2">
          <w:rPr>
            <w:rStyle w:val="Hyperlink"/>
            <w:sz w:val="19"/>
            <w:szCs w:val="19"/>
          </w:rPr>
          <w:t>http://www.universitiesuk.ac.uk/highereducation/Pages/Ch</w:t>
        </w:r>
        <w:r w:rsidR="00277BB0" w:rsidRPr="005A72E2">
          <w:rPr>
            <w:rStyle w:val="Hyperlink"/>
            <w:sz w:val="19"/>
            <w:szCs w:val="19"/>
          </w:rPr>
          <w:t>a</w:t>
        </w:r>
        <w:r w:rsidR="00277BB0" w:rsidRPr="005A72E2">
          <w:rPr>
            <w:rStyle w:val="Hyperlink"/>
            <w:sz w:val="19"/>
            <w:szCs w:val="19"/>
          </w:rPr>
          <w:t>ngesInStudentC</w:t>
        </w:r>
        <w:r w:rsidR="00277BB0" w:rsidRPr="005A72E2">
          <w:rPr>
            <w:rStyle w:val="Hyperlink"/>
            <w:sz w:val="19"/>
            <w:szCs w:val="19"/>
          </w:rPr>
          <w:t>h</w:t>
        </w:r>
        <w:r w:rsidR="00277BB0" w:rsidRPr="005A72E2">
          <w:rPr>
            <w:rStyle w:val="Hyperlink"/>
            <w:sz w:val="19"/>
            <w:szCs w:val="19"/>
          </w:rPr>
          <w:t>oices.aspx</w:t>
        </w:r>
      </w:hyperlink>
      <w:r w:rsidR="00277BB0" w:rsidRPr="005A72E2">
        <w:rPr>
          <w:sz w:val="19"/>
          <w:szCs w:val="19"/>
        </w:rPr>
        <w:t xml:space="preserve"> </w:t>
      </w:r>
    </w:p>
    <w:p w14:paraId="52D1B242" w14:textId="2254C6E1" w:rsidR="4492CD4A" w:rsidRDefault="00F5204F">
      <w:r w:rsidRPr="005A72E2">
        <w:rPr>
          <w:rFonts w:ascii="Calibri" w:eastAsia="Calibri" w:hAnsi="Calibri" w:cs="Calibri"/>
          <w:sz w:val="19"/>
          <w:szCs w:val="19"/>
        </w:rPr>
        <w:t xml:space="preserve">Young, Lord David. (2014). Enterprise for all: The relevance of enterprise in education (No. BIS/14/874). London: BIS - the Department of Business, Innovation and Skills and the Prime Minister’s Office. Retrieved from </w:t>
      </w:r>
      <w:hyperlink r:id="rId29" w:history="1">
        <w:r w:rsidRPr="005A72E2">
          <w:rPr>
            <w:rStyle w:val="Hyperlink"/>
            <w:rFonts w:ascii="Calibri" w:eastAsia="Calibri" w:hAnsi="Calibri" w:cs="Calibri"/>
            <w:sz w:val="19"/>
            <w:szCs w:val="19"/>
          </w:rPr>
          <w:t>https://www.gov.uk/government/publications/enterprise-for-all-the-relevance-of-enterprise-in-education</w:t>
        </w:r>
      </w:hyperlink>
      <w:r w:rsidRPr="005A72E2">
        <w:rPr>
          <w:rFonts w:ascii="Calibri" w:eastAsia="Calibri" w:hAnsi="Calibri" w:cs="Calibri"/>
          <w:sz w:val="19"/>
          <w:szCs w:val="19"/>
        </w:rPr>
        <w:t xml:space="preserve"> </w:t>
      </w:r>
    </w:p>
    <w:sectPr w:rsidR="4492CD4A" w:rsidSect="008C0BBC">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1D96E" w14:textId="77777777" w:rsidR="006108DC" w:rsidRDefault="006108DC" w:rsidP="006108DC">
      <w:pPr>
        <w:spacing w:after="0" w:line="240" w:lineRule="auto"/>
      </w:pPr>
      <w:r>
        <w:separator/>
      </w:r>
    </w:p>
  </w:endnote>
  <w:endnote w:type="continuationSeparator" w:id="0">
    <w:p w14:paraId="3F44B266" w14:textId="77777777" w:rsidR="006108DC" w:rsidRDefault="006108DC" w:rsidP="0061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1D0BC" w14:textId="77777777" w:rsidR="006108DC" w:rsidRDefault="006108DC" w:rsidP="006108DC">
      <w:pPr>
        <w:spacing w:after="0" w:line="240" w:lineRule="auto"/>
      </w:pPr>
      <w:r>
        <w:separator/>
      </w:r>
    </w:p>
  </w:footnote>
  <w:footnote w:type="continuationSeparator" w:id="0">
    <w:p w14:paraId="5A113F0F" w14:textId="77777777" w:rsidR="006108DC" w:rsidRDefault="006108DC" w:rsidP="006108DC">
      <w:pPr>
        <w:spacing w:after="0" w:line="240" w:lineRule="auto"/>
      </w:pPr>
      <w:r>
        <w:continuationSeparator/>
      </w:r>
    </w:p>
  </w:footnote>
  <w:footnote w:id="1">
    <w:p w14:paraId="3AD60301" w14:textId="5C771522" w:rsidR="00B05A04" w:rsidRDefault="00B05A04" w:rsidP="00B05A04">
      <w:pPr>
        <w:pStyle w:val="FootnoteText"/>
      </w:pPr>
      <w:r>
        <w:rPr>
          <w:rStyle w:val="FootnoteReference"/>
        </w:rPr>
        <w:footnoteRef/>
      </w:r>
      <w:r w:rsidR="00294A30">
        <w:t xml:space="preserve"> (Universities UK, 2010</w:t>
      </w:r>
      <w:bookmarkStart w:id="0" w:name="_GoBack"/>
      <w:bookmarkEnd w:id="0"/>
      <w:r>
        <w:t>; HEFCE, 2011)</w:t>
      </w:r>
    </w:p>
  </w:footnote>
  <w:footnote w:id="2">
    <w:p w14:paraId="270B8327" w14:textId="6EB50064" w:rsidR="007D60D7" w:rsidRDefault="007D60D7">
      <w:pPr>
        <w:pStyle w:val="FootnoteText"/>
      </w:pPr>
      <w:r>
        <w:rPr>
          <w:rStyle w:val="FootnoteReference"/>
        </w:rPr>
        <w:footnoteRef/>
      </w:r>
      <w:r>
        <w:t xml:space="preserve"> (Johnson, 2015)</w:t>
      </w:r>
    </w:p>
  </w:footnote>
  <w:footnote w:id="3">
    <w:p w14:paraId="1DF87CA6" w14:textId="77777777" w:rsidR="007D60D7" w:rsidRDefault="007D60D7" w:rsidP="007D60D7">
      <w:pPr>
        <w:pStyle w:val="FootnoteText"/>
      </w:pPr>
      <w:r>
        <w:rPr>
          <w:rStyle w:val="FootnoteReference"/>
        </w:rPr>
        <w:footnoteRef/>
      </w:r>
      <w:r>
        <w:t xml:space="preserve"> (</w:t>
      </w:r>
      <w:r>
        <w:rPr>
          <w:rFonts w:ascii="Calibri" w:eastAsia="Calibri" w:hAnsi="Calibri" w:cs="Calibri"/>
        </w:rPr>
        <w:t xml:space="preserve">BIS, </w:t>
      </w:r>
      <w:r w:rsidRPr="00183E40">
        <w:rPr>
          <w:rFonts w:ascii="Calibri" w:eastAsia="Calibri" w:hAnsi="Calibri" w:cs="Calibri"/>
        </w:rPr>
        <w:t>2014)</w:t>
      </w:r>
    </w:p>
  </w:footnote>
  <w:footnote w:id="4">
    <w:p w14:paraId="60D2B3B6" w14:textId="77777777" w:rsidR="007D60D7" w:rsidRDefault="007D60D7" w:rsidP="007D60D7">
      <w:pPr>
        <w:pStyle w:val="FootnoteText"/>
      </w:pPr>
      <w:r>
        <w:rPr>
          <w:rStyle w:val="FootnoteReference"/>
        </w:rPr>
        <w:footnoteRef/>
      </w:r>
      <w:r>
        <w:t xml:space="preserve"> (Young, 2014. pp.8-9)</w:t>
      </w:r>
    </w:p>
  </w:footnote>
  <w:footnote w:id="5">
    <w:p w14:paraId="0E452AEE" w14:textId="77777777" w:rsidR="007D60D7" w:rsidRDefault="007D60D7" w:rsidP="007D60D7">
      <w:pPr>
        <w:pStyle w:val="FootnoteText"/>
      </w:pPr>
      <w:r>
        <w:rPr>
          <w:rStyle w:val="FootnoteReference"/>
        </w:rPr>
        <w:footnoteRef/>
      </w:r>
      <w:r>
        <w:t xml:space="preserve"> (</w:t>
      </w:r>
      <w:r>
        <w:rPr>
          <w:i/>
        </w:rPr>
        <w:t>Ibid</w:t>
      </w:r>
      <w:r>
        <w:t>. p.35)</w:t>
      </w:r>
    </w:p>
  </w:footnote>
  <w:footnote w:id="6">
    <w:p w14:paraId="25CC64AA" w14:textId="39E6EA7F" w:rsidR="003A3A47" w:rsidRDefault="003A3A47">
      <w:pPr>
        <w:pStyle w:val="FootnoteText"/>
      </w:pPr>
      <w:r>
        <w:rPr>
          <w:rStyle w:val="FootnoteReference"/>
        </w:rPr>
        <w:footnoteRef/>
      </w:r>
      <w:r>
        <w:t xml:space="preserve"> (Skills Commission, 2014)</w:t>
      </w:r>
    </w:p>
  </w:footnote>
  <w:footnote w:id="7">
    <w:p w14:paraId="49801043" w14:textId="462CA29C" w:rsidR="003A3A47" w:rsidRDefault="003A3A47">
      <w:pPr>
        <w:pStyle w:val="FootnoteText"/>
      </w:pPr>
      <w:r>
        <w:rPr>
          <w:rStyle w:val="FootnoteReference"/>
        </w:rPr>
        <w:footnoteRef/>
      </w:r>
      <w:r>
        <w:t xml:space="preserve"> (Hackett </w:t>
      </w:r>
      <w:r w:rsidRPr="005A72E2">
        <w:rPr>
          <w:i/>
        </w:rPr>
        <w:t>et al</w:t>
      </w:r>
      <w:r>
        <w:t>., 2012)</w:t>
      </w:r>
    </w:p>
  </w:footnote>
  <w:footnote w:id="8">
    <w:p w14:paraId="3EED716D" w14:textId="1DD5C4A5" w:rsidR="003A3A47" w:rsidRDefault="003A3A47">
      <w:pPr>
        <w:pStyle w:val="FootnoteText"/>
      </w:pPr>
      <w:r>
        <w:rPr>
          <w:rStyle w:val="FootnoteReference"/>
        </w:rPr>
        <w:footnoteRef/>
      </w:r>
      <w:r>
        <w:t xml:space="preserve"> (Green &amp; Henseke, 2014. pp. 2, 31-32)</w:t>
      </w:r>
    </w:p>
  </w:footnote>
  <w:footnote w:id="9">
    <w:p w14:paraId="65E24524" w14:textId="3C8ECFD1" w:rsidR="00491A86" w:rsidRPr="00491A86" w:rsidRDefault="00491A86">
      <w:pPr>
        <w:pStyle w:val="FootnoteText"/>
      </w:pPr>
      <w:r>
        <w:rPr>
          <w:rStyle w:val="FootnoteReference"/>
        </w:rPr>
        <w:footnoteRef/>
      </w:r>
      <w:r>
        <w:t xml:space="preserve"> (</w:t>
      </w:r>
      <w:r w:rsidRPr="00E45BFD">
        <w:rPr>
          <w:rFonts w:ascii="Calibri" w:eastAsia="Calibri" w:hAnsi="Calibri" w:cs="Calibri"/>
        </w:rPr>
        <w:t>Purcell, K., Elias, P.,</w:t>
      </w:r>
      <w:r>
        <w:rPr>
          <w:rFonts w:ascii="Calibri" w:eastAsia="Calibri" w:hAnsi="Calibri" w:cs="Calibri"/>
        </w:rPr>
        <w:t xml:space="preserve"> </w:t>
      </w:r>
      <w:r>
        <w:rPr>
          <w:rFonts w:ascii="Calibri" w:eastAsia="Calibri" w:hAnsi="Calibri" w:cs="Calibri"/>
          <w:i/>
        </w:rPr>
        <w:t>et al</w:t>
      </w:r>
      <w:r>
        <w:rPr>
          <w:rFonts w:ascii="Calibri" w:eastAsia="Calibri" w:hAnsi="Calibri" w:cs="Calibri"/>
        </w:rPr>
        <w:t>, 201</w:t>
      </w:r>
      <w:r w:rsidR="002D0E9C">
        <w:rPr>
          <w:rFonts w:ascii="Calibri" w:eastAsia="Calibri" w:hAnsi="Calibri" w:cs="Calibri"/>
        </w:rPr>
        <w:t>3. p.61</w:t>
      </w:r>
      <w:r>
        <w:rPr>
          <w:rFonts w:ascii="Calibri" w:eastAsia="Calibri" w:hAnsi="Calibri" w:cs="Calibri"/>
        </w:rPr>
        <w:t>)</w:t>
      </w:r>
    </w:p>
  </w:footnote>
  <w:footnote w:id="10">
    <w:p w14:paraId="328A4F9C" w14:textId="4263B804" w:rsidR="003A3A47" w:rsidRPr="003A3A47" w:rsidRDefault="003A3A47">
      <w:pPr>
        <w:pStyle w:val="FootnoteText"/>
      </w:pPr>
      <w:r w:rsidRPr="003A3A47">
        <w:rPr>
          <w:rStyle w:val="FootnoteReference"/>
        </w:rPr>
        <w:footnoteRef/>
      </w:r>
      <w:r>
        <w:t xml:space="preserve"> </w:t>
      </w:r>
      <w:r w:rsidR="008C0BBC" w:rsidRPr="003A3A47">
        <w:t>(</w:t>
      </w:r>
      <w:r w:rsidR="008C0BBC">
        <w:t xml:space="preserve">Universities UK, 2015. pp.5-6; </w:t>
      </w:r>
      <w:r w:rsidR="008C0BBC" w:rsidRPr="003A3A47">
        <w:t>U</w:t>
      </w:r>
      <w:r w:rsidR="008C0BBC">
        <w:t xml:space="preserve">niversities </w:t>
      </w:r>
      <w:r w:rsidR="008C0BBC" w:rsidRPr="003A3A47">
        <w:t>UK, 2014</w:t>
      </w:r>
      <w:r w:rsidR="008C0BBC">
        <w:t>a</w:t>
      </w:r>
      <w:r w:rsidR="008C0BBC" w:rsidRPr="003A3A47">
        <w:t>. pp. 27-28)</w:t>
      </w:r>
    </w:p>
  </w:footnote>
  <w:footnote w:id="11">
    <w:p w14:paraId="5BE468FF" w14:textId="75C1AA67" w:rsidR="003A3A47" w:rsidRDefault="003A3A47">
      <w:pPr>
        <w:pStyle w:val="FootnoteText"/>
      </w:pPr>
      <w:r w:rsidRPr="003A3A47">
        <w:rPr>
          <w:rStyle w:val="FootnoteReference"/>
        </w:rPr>
        <w:footnoteRef/>
      </w:r>
      <w:r>
        <w:t xml:space="preserve"> (UKCES, 2014)</w:t>
      </w:r>
    </w:p>
  </w:footnote>
  <w:footnote w:id="12">
    <w:p w14:paraId="18B42130" w14:textId="79B6356D" w:rsidR="003A3A47" w:rsidRDefault="003A3A47">
      <w:pPr>
        <w:pStyle w:val="FootnoteText"/>
      </w:pPr>
      <w:r>
        <w:rPr>
          <w:rStyle w:val="FootnoteReference"/>
        </w:rPr>
        <w:footnoteRef/>
      </w:r>
      <w:r>
        <w:t xml:space="preserve"> (NUS, 2015)</w:t>
      </w:r>
    </w:p>
  </w:footnote>
  <w:footnote w:id="13">
    <w:p w14:paraId="5DEBD6D9" w14:textId="37A81402" w:rsidR="007F129A" w:rsidRDefault="007F129A">
      <w:pPr>
        <w:pStyle w:val="FootnoteText"/>
      </w:pPr>
      <w:r>
        <w:rPr>
          <w:rStyle w:val="FootnoteReference"/>
        </w:rPr>
        <w:footnoteRef/>
      </w:r>
      <w:r>
        <w:t xml:space="preserve"> (Riordan, 2013)</w:t>
      </w:r>
    </w:p>
  </w:footnote>
  <w:footnote w:id="14">
    <w:p w14:paraId="69B15536" w14:textId="439BCFF5" w:rsidR="007F129A" w:rsidRDefault="007F129A">
      <w:pPr>
        <w:pStyle w:val="FootnoteText"/>
      </w:pPr>
      <w:r>
        <w:rPr>
          <w:rStyle w:val="FootnoteReference"/>
        </w:rPr>
        <w:footnoteRef/>
      </w:r>
      <w:r>
        <w:t xml:space="preserve"> (Lincoln, 2011</w:t>
      </w:r>
      <w:r w:rsidR="009E2F9D">
        <w:t>; U</w:t>
      </w:r>
      <w:r w:rsidR="00023C49">
        <w:t xml:space="preserve">niversities </w:t>
      </w:r>
      <w:r w:rsidR="009E2F9D">
        <w:t>UK, 2014</w:t>
      </w:r>
      <w:r w:rsidR="00023C49">
        <w:t>b</w:t>
      </w:r>
      <w:r>
        <w:t>)</w:t>
      </w:r>
    </w:p>
  </w:footnote>
  <w:footnote w:id="15">
    <w:p w14:paraId="4C2845EE" w14:textId="2437E3FA" w:rsidR="007F129A" w:rsidRDefault="007F129A">
      <w:pPr>
        <w:pStyle w:val="FootnoteText"/>
      </w:pPr>
      <w:r>
        <w:rPr>
          <w:rStyle w:val="FootnoteReference"/>
        </w:rPr>
        <w:footnoteRef/>
      </w:r>
      <w:r>
        <w:t xml:space="preserve"> (Huddersfield, 2014; Maguire,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9227F"/>
    <w:multiLevelType w:val="hybridMultilevel"/>
    <w:tmpl w:val="551E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2F"/>
    <w:rsid w:val="00003686"/>
    <w:rsid w:val="00020508"/>
    <w:rsid w:val="00023C49"/>
    <w:rsid w:val="00060929"/>
    <w:rsid w:val="0009448D"/>
    <w:rsid w:val="000A126C"/>
    <w:rsid w:val="000C7602"/>
    <w:rsid w:val="000C7E4F"/>
    <w:rsid w:val="000F4835"/>
    <w:rsid w:val="00116100"/>
    <w:rsid w:val="0014529D"/>
    <w:rsid w:val="00155EFC"/>
    <w:rsid w:val="00157905"/>
    <w:rsid w:val="00161B36"/>
    <w:rsid w:val="00181060"/>
    <w:rsid w:val="00183E40"/>
    <w:rsid w:val="00185CBD"/>
    <w:rsid w:val="0019281C"/>
    <w:rsid w:val="001A4ED3"/>
    <w:rsid w:val="001C60A5"/>
    <w:rsid w:val="00201524"/>
    <w:rsid w:val="00203EBC"/>
    <w:rsid w:val="00232FB6"/>
    <w:rsid w:val="00247D17"/>
    <w:rsid w:val="002742E2"/>
    <w:rsid w:val="00277BB0"/>
    <w:rsid w:val="00294A30"/>
    <w:rsid w:val="002D0E9C"/>
    <w:rsid w:val="002D72E2"/>
    <w:rsid w:val="002F481C"/>
    <w:rsid w:val="002F510C"/>
    <w:rsid w:val="0037795C"/>
    <w:rsid w:val="00383818"/>
    <w:rsid w:val="003A3A47"/>
    <w:rsid w:val="003B72EA"/>
    <w:rsid w:val="003C30CE"/>
    <w:rsid w:val="004705B9"/>
    <w:rsid w:val="0048261B"/>
    <w:rsid w:val="00491A86"/>
    <w:rsid w:val="004A1CB6"/>
    <w:rsid w:val="004A3CEC"/>
    <w:rsid w:val="004D04A4"/>
    <w:rsid w:val="004D643C"/>
    <w:rsid w:val="00515C9B"/>
    <w:rsid w:val="00521711"/>
    <w:rsid w:val="005372E2"/>
    <w:rsid w:val="00547253"/>
    <w:rsid w:val="0058105C"/>
    <w:rsid w:val="00582B3B"/>
    <w:rsid w:val="00597247"/>
    <w:rsid w:val="005A72E2"/>
    <w:rsid w:val="005D6278"/>
    <w:rsid w:val="005E2213"/>
    <w:rsid w:val="005E5DD5"/>
    <w:rsid w:val="006108DC"/>
    <w:rsid w:val="00625E3E"/>
    <w:rsid w:val="00626428"/>
    <w:rsid w:val="00683FA1"/>
    <w:rsid w:val="0068796F"/>
    <w:rsid w:val="006E40FF"/>
    <w:rsid w:val="006F7176"/>
    <w:rsid w:val="00723FF6"/>
    <w:rsid w:val="00783E92"/>
    <w:rsid w:val="007915FA"/>
    <w:rsid w:val="00795DF8"/>
    <w:rsid w:val="007B4F49"/>
    <w:rsid w:val="007D60D7"/>
    <w:rsid w:val="007F129A"/>
    <w:rsid w:val="007F31E1"/>
    <w:rsid w:val="00814700"/>
    <w:rsid w:val="008228F8"/>
    <w:rsid w:val="0082576A"/>
    <w:rsid w:val="0082778C"/>
    <w:rsid w:val="00866628"/>
    <w:rsid w:val="008B2B6F"/>
    <w:rsid w:val="008C0BBC"/>
    <w:rsid w:val="008F44CC"/>
    <w:rsid w:val="00963273"/>
    <w:rsid w:val="00976BAC"/>
    <w:rsid w:val="0098334E"/>
    <w:rsid w:val="009B4820"/>
    <w:rsid w:val="009C660B"/>
    <w:rsid w:val="009E2F9D"/>
    <w:rsid w:val="009E67DF"/>
    <w:rsid w:val="009F2C11"/>
    <w:rsid w:val="00A02BAF"/>
    <w:rsid w:val="00A20F09"/>
    <w:rsid w:val="00AF562F"/>
    <w:rsid w:val="00B05A04"/>
    <w:rsid w:val="00B44669"/>
    <w:rsid w:val="00B45D8B"/>
    <w:rsid w:val="00B81AB5"/>
    <w:rsid w:val="00BC181E"/>
    <w:rsid w:val="00C5036A"/>
    <w:rsid w:val="00C76204"/>
    <w:rsid w:val="00C76C22"/>
    <w:rsid w:val="00C95FC7"/>
    <w:rsid w:val="00D07080"/>
    <w:rsid w:val="00D47091"/>
    <w:rsid w:val="00D94F5F"/>
    <w:rsid w:val="00DC0FC8"/>
    <w:rsid w:val="00DD770B"/>
    <w:rsid w:val="00DF47E6"/>
    <w:rsid w:val="00DF52A4"/>
    <w:rsid w:val="00E34EC8"/>
    <w:rsid w:val="00E3DAC5"/>
    <w:rsid w:val="00E71C2F"/>
    <w:rsid w:val="00E927A5"/>
    <w:rsid w:val="00EB607B"/>
    <w:rsid w:val="00EC713E"/>
    <w:rsid w:val="00ED7BEF"/>
    <w:rsid w:val="00EF317F"/>
    <w:rsid w:val="00F05280"/>
    <w:rsid w:val="00F1126E"/>
    <w:rsid w:val="00F37516"/>
    <w:rsid w:val="00F51C67"/>
    <w:rsid w:val="00F5204F"/>
    <w:rsid w:val="00F53DAE"/>
    <w:rsid w:val="00F725B1"/>
    <w:rsid w:val="00F80F5B"/>
    <w:rsid w:val="00FE03DA"/>
    <w:rsid w:val="00FE45DD"/>
    <w:rsid w:val="028F1F95"/>
    <w:rsid w:val="09556304"/>
    <w:rsid w:val="09DBD461"/>
    <w:rsid w:val="0A71D892"/>
    <w:rsid w:val="0A798F97"/>
    <w:rsid w:val="10EA6B5F"/>
    <w:rsid w:val="13CA1C89"/>
    <w:rsid w:val="13F73036"/>
    <w:rsid w:val="162BF144"/>
    <w:rsid w:val="18B0C11D"/>
    <w:rsid w:val="1D665479"/>
    <w:rsid w:val="20113F67"/>
    <w:rsid w:val="22071FEB"/>
    <w:rsid w:val="22BD071C"/>
    <w:rsid w:val="265893C4"/>
    <w:rsid w:val="267F1D28"/>
    <w:rsid w:val="26A1D3EF"/>
    <w:rsid w:val="27907A41"/>
    <w:rsid w:val="2A337DA6"/>
    <w:rsid w:val="2AEEB593"/>
    <w:rsid w:val="2CA77F16"/>
    <w:rsid w:val="2E3376D1"/>
    <w:rsid w:val="2FFAC071"/>
    <w:rsid w:val="31F375DE"/>
    <w:rsid w:val="33E6BCDD"/>
    <w:rsid w:val="35092877"/>
    <w:rsid w:val="35813710"/>
    <w:rsid w:val="3817F934"/>
    <w:rsid w:val="38826724"/>
    <w:rsid w:val="39A79704"/>
    <w:rsid w:val="3A334523"/>
    <w:rsid w:val="3B46F33A"/>
    <w:rsid w:val="3B633990"/>
    <w:rsid w:val="3B7D8454"/>
    <w:rsid w:val="3E62EF5F"/>
    <w:rsid w:val="3EC380EF"/>
    <w:rsid w:val="3F71384E"/>
    <w:rsid w:val="409B65E1"/>
    <w:rsid w:val="429C8363"/>
    <w:rsid w:val="43C20CE5"/>
    <w:rsid w:val="4492CD4A"/>
    <w:rsid w:val="473A263F"/>
    <w:rsid w:val="4B3C142A"/>
    <w:rsid w:val="4BC12571"/>
    <w:rsid w:val="4BC34A19"/>
    <w:rsid w:val="4BC51BB5"/>
    <w:rsid w:val="4DAB60FC"/>
    <w:rsid w:val="5005784B"/>
    <w:rsid w:val="513A8E6E"/>
    <w:rsid w:val="51959756"/>
    <w:rsid w:val="525B2ED0"/>
    <w:rsid w:val="550AE5F5"/>
    <w:rsid w:val="55B5AF69"/>
    <w:rsid w:val="57067375"/>
    <w:rsid w:val="5713F41F"/>
    <w:rsid w:val="5A566138"/>
    <w:rsid w:val="5C44A4B9"/>
    <w:rsid w:val="5D11D8AA"/>
    <w:rsid w:val="5DFFC7B7"/>
    <w:rsid w:val="61AD10F8"/>
    <w:rsid w:val="63EA9D49"/>
    <w:rsid w:val="661481F7"/>
    <w:rsid w:val="6775C760"/>
    <w:rsid w:val="67FAB47A"/>
    <w:rsid w:val="684F7140"/>
    <w:rsid w:val="6C018C35"/>
    <w:rsid w:val="6DEBF66C"/>
    <w:rsid w:val="6E5934D4"/>
    <w:rsid w:val="6E6A63C1"/>
    <w:rsid w:val="6EA03A45"/>
    <w:rsid w:val="6FA46E09"/>
    <w:rsid w:val="6FFF65F5"/>
    <w:rsid w:val="717E30DD"/>
    <w:rsid w:val="72950259"/>
    <w:rsid w:val="75B8B933"/>
    <w:rsid w:val="7A41C378"/>
    <w:rsid w:val="7BA1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FF12"/>
  <w15:chartTrackingRefBased/>
  <w15:docId w15:val="{39E1A311-7DFE-4B08-806C-876F8F67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5C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BC"/>
    <w:rPr>
      <w:rFonts w:ascii="Segoe UI" w:hAnsi="Segoe UI" w:cs="Segoe UI"/>
      <w:sz w:val="18"/>
      <w:szCs w:val="18"/>
    </w:rPr>
  </w:style>
  <w:style w:type="character" w:styleId="Hyperlink">
    <w:name w:val="Hyperlink"/>
    <w:basedOn w:val="DefaultParagraphFont"/>
    <w:uiPriority w:val="99"/>
    <w:unhideWhenUsed/>
    <w:rsid w:val="00683FA1"/>
    <w:rPr>
      <w:color w:val="0563C1" w:themeColor="hyperlink"/>
      <w:u w:val="single"/>
    </w:rPr>
  </w:style>
  <w:style w:type="paragraph" w:styleId="Header">
    <w:name w:val="header"/>
    <w:basedOn w:val="Normal"/>
    <w:link w:val="HeaderChar"/>
    <w:uiPriority w:val="99"/>
    <w:unhideWhenUsed/>
    <w:rsid w:val="00610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DC"/>
  </w:style>
  <w:style w:type="paragraph" w:styleId="Footer">
    <w:name w:val="footer"/>
    <w:basedOn w:val="Normal"/>
    <w:link w:val="FooterChar"/>
    <w:uiPriority w:val="99"/>
    <w:unhideWhenUsed/>
    <w:rsid w:val="00610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DC"/>
  </w:style>
  <w:style w:type="character" w:styleId="FollowedHyperlink">
    <w:name w:val="FollowedHyperlink"/>
    <w:basedOn w:val="DefaultParagraphFont"/>
    <w:uiPriority w:val="99"/>
    <w:semiHidden/>
    <w:unhideWhenUsed/>
    <w:rsid w:val="00723FF6"/>
    <w:rPr>
      <w:color w:val="954F72" w:themeColor="followedHyperlink"/>
      <w:u w:val="single"/>
    </w:rPr>
  </w:style>
  <w:style w:type="character" w:customStyle="1" w:styleId="Heading2Char">
    <w:name w:val="Heading 2 Char"/>
    <w:basedOn w:val="DefaultParagraphFont"/>
    <w:link w:val="Heading2"/>
    <w:uiPriority w:val="9"/>
    <w:rsid w:val="00185CB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81AB5"/>
    <w:pPr>
      <w:ind w:left="720"/>
      <w:contextualSpacing/>
    </w:pPr>
  </w:style>
  <w:style w:type="paragraph" w:styleId="FootnoteText">
    <w:name w:val="footnote text"/>
    <w:basedOn w:val="Normal"/>
    <w:link w:val="FootnoteTextChar"/>
    <w:uiPriority w:val="99"/>
    <w:semiHidden/>
    <w:unhideWhenUsed/>
    <w:rsid w:val="003A3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A47"/>
    <w:rPr>
      <w:sz w:val="20"/>
      <w:szCs w:val="20"/>
    </w:rPr>
  </w:style>
  <w:style w:type="character" w:styleId="FootnoteReference">
    <w:name w:val="footnote reference"/>
    <w:basedOn w:val="DefaultParagraphFont"/>
    <w:uiPriority w:val="99"/>
    <w:semiHidden/>
    <w:unhideWhenUsed/>
    <w:rsid w:val="003A3A47"/>
    <w:rPr>
      <w:vertAlign w:val="superscript"/>
    </w:rPr>
  </w:style>
  <w:style w:type="character" w:customStyle="1" w:styleId="Heading1Char">
    <w:name w:val="Heading 1 Char"/>
    <w:basedOn w:val="DefaultParagraphFont"/>
    <w:link w:val="Heading1"/>
    <w:uiPriority w:val="9"/>
    <w:rsid w:val="001C60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042">
      <w:bodyDiv w:val="1"/>
      <w:marLeft w:val="0"/>
      <w:marRight w:val="0"/>
      <w:marTop w:val="0"/>
      <w:marBottom w:val="0"/>
      <w:divBdr>
        <w:top w:val="none" w:sz="0" w:space="0" w:color="auto"/>
        <w:left w:val="none" w:sz="0" w:space="0" w:color="auto"/>
        <w:bottom w:val="none" w:sz="0" w:space="0" w:color="auto"/>
        <w:right w:val="none" w:sz="0" w:space="0" w:color="auto"/>
      </w:divBdr>
      <w:divsChild>
        <w:div w:id="507867584">
          <w:marLeft w:val="0"/>
          <w:marRight w:val="0"/>
          <w:marTop w:val="0"/>
          <w:marBottom w:val="0"/>
          <w:divBdr>
            <w:top w:val="none" w:sz="0" w:space="0" w:color="auto"/>
            <w:left w:val="none" w:sz="0" w:space="0" w:color="auto"/>
            <w:bottom w:val="none" w:sz="0" w:space="0" w:color="auto"/>
            <w:right w:val="none" w:sz="0" w:space="0" w:color="auto"/>
          </w:divBdr>
          <w:divsChild>
            <w:div w:id="1527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338">
      <w:bodyDiv w:val="1"/>
      <w:marLeft w:val="0"/>
      <w:marRight w:val="0"/>
      <w:marTop w:val="0"/>
      <w:marBottom w:val="0"/>
      <w:divBdr>
        <w:top w:val="none" w:sz="0" w:space="0" w:color="auto"/>
        <w:left w:val="none" w:sz="0" w:space="0" w:color="auto"/>
        <w:bottom w:val="none" w:sz="0" w:space="0" w:color="auto"/>
        <w:right w:val="none" w:sz="0" w:space="0" w:color="auto"/>
      </w:divBdr>
      <w:divsChild>
        <w:div w:id="576670151">
          <w:marLeft w:val="0"/>
          <w:marRight w:val="0"/>
          <w:marTop w:val="0"/>
          <w:marBottom w:val="0"/>
          <w:divBdr>
            <w:top w:val="none" w:sz="0" w:space="0" w:color="auto"/>
            <w:left w:val="none" w:sz="0" w:space="0" w:color="auto"/>
            <w:bottom w:val="none" w:sz="0" w:space="0" w:color="auto"/>
            <w:right w:val="none" w:sz="0" w:space="0" w:color="auto"/>
          </w:divBdr>
          <w:divsChild>
            <w:div w:id="11941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2230">
      <w:bodyDiv w:val="1"/>
      <w:marLeft w:val="0"/>
      <w:marRight w:val="0"/>
      <w:marTop w:val="0"/>
      <w:marBottom w:val="0"/>
      <w:divBdr>
        <w:top w:val="none" w:sz="0" w:space="0" w:color="auto"/>
        <w:left w:val="none" w:sz="0" w:space="0" w:color="auto"/>
        <w:bottom w:val="none" w:sz="0" w:space="0" w:color="auto"/>
        <w:right w:val="none" w:sz="0" w:space="0" w:color="auto"/>
      </w:divBdr>
      <w:divsChild>
        <w:div w:id="675881560">
          <w:marLeft w:val="0"/>
          <w:marRight w:val="0"/>
          <w:marTop w:val="0"/>
          <w:marBottom w:val="0"/>
          <w:divBdr>
            <w:top w:val="none" w:sz="0" w:space="0" w:color="auto"/>
            <w:left w:val="none" w:sz="0" w:space="0" w:color="auto"/>
            <w:bottom w:val="none" w:sz="0" w:space="0" w:color="auto"/>
            <w:right w:val="none" w:sz="0" w:space="0" w:color="auto"/>
          </w:divBdr>
          <w:divsChild>
            <w:div w:id="68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539">
      <w:bodyDiv w:val="1"/>
      <w:marLeft w:val="0"/>
      <w:marRight w:val="0"/>
      <w:marTop w:val="0"/>
      <w:marBottom w:val="0"/>
      <w:divBdr>
        <w:top w:val="none" w:sz="0" w:space="0" w:color="auto"/>
        <w:left w:val="none" w:sz="0" w:space="0" w:color="auto"/>
        <w:bottom w:val="none" w:sz="0" w:space="0" w:color="auto"/>
        <w:right w:val="none" w:sz="0" w:space="0" w:color="auto"/>
      </w:divBdr>
      <w:divsChild>
        <w:div w:id="938835671">
          <w:marLeft w:val="0"/>
          <w:marRight w:val="0"/>
          <w:marTop w:val="0"/>
          <w:marBottom w:val="0"/>
          <w:divBdr>
            <w:top w:val="none" w:sz="0" w:space="0" w:color="auto"/>
            <w:left w:val="none" w:sz="0" w:space="0" w:color="auto"/>
            <w:bottom w:val="none" w:sz="0" w:space="0" w:color="auto"/>
            <w:right w:val="none" w:sz="0" w:space="0" w:color="auto"/>
          </w:divBdr>
        </w:div>
        <w:div w:id="726075522">
          <w:marLeft w:val="0"/>
          <w:marRight w:val="0"/>
          <w:marTop w:val="0"/>
          <w:marBottom w:val="0"/>
          <w:divBdr>
            <w:top w:val="none" w:sz="0" w:space="0" w:color="auto"/>
            <w:left w:val="none" w:sz="0" w:space="0" w:color="auto"/>
            <w:bottom w:val="none" w:sz="0" w:space="0" w:color="auto"/>
            <w:right w:val="none" w:sz="0" w:space="0" w:color="auto"/>
          </w:divBdr>
        </w:div>
        <w:div w:id="4141187">
          <w:marLeft w:val="0"/>
          <w:marRight w:val="0"/>
          <w:marTop w:val="0"/>
          <w:marBottom w:val="0"/>
          <w:divBdr>
            <w:top w:val="none" w:sz="0" w:space="0" w:color="auto"/>
            <w:left w:val="none" w:sz="0" w:space="0" w:color="auto"/>
            <w:bottom w:val="none" w:sz="0" w:space="0" w:color="auto"/>
            <w:right w:val="none" w:sz="0" w:space="0" w:color="auto"/>
          </w:divBdr>
        </w:div>
      </w:divsChild>
    </w:div>
    <w:div w:id="422342376">
      <w:bodyDiv w:val="1"/>
      <w:marLeft w:val="0"/>
      <w:marRight w:val="0"/>
      <w:marTop w:val="0"/>
      <w:marBottom w:val="0"/>
      <w:divBdr>
        <w:top w:val="none" w:sz="0" w:space="0" w:color="auto"/>
        <w:left w:val="none" w:sz="0" w:space="0" w:color="auto"/>
        <w:bottom w:val="none" w:sz="0" w:space="0" w:color="auto"/>
        <w:right w:val="none" w:sz="0" w:space="0" w:color="auto"/>
      </w:divBdr>
      <w:divsChild>
        <w:div w:id="908073840">
          <w:marLeft w:val="0"/>
          <w:marRight w:val="0"/>
          <w:marTop w:val="0"/>
          <w:marBottom w:val="0"/>
          <w:divBdr>
            <w:top w:val="none" w:sz="0" w:space="0" w:color="auto"/>
            <w:left w:val="none" w:sz="0" w:space="0" w:color="auto"/>
            <w:bottom w:val="none" w:sz="0" w:space="0" w:color="auto"/>
            <w:right w:val="none" w:sz="0" w:space="0" w:color="auto"/>
          </w:divBdr>
          <w:divsChild>
            <w:div w:id="14646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196">
      <w:bodyDiv w:val="1"/>
      <w:marLeft w:val="0"/>
      <w:marRight w:val="0"/>
      <w:marTop w:val="0"/>
      <w:marBottom w:val="0"/>
      <w:divBdr>
        <w:top w:val="none" w:sz="0" w:space="0" w:color="auto"/>
        <w:left w:val="none" w:sz="0" w:space="0" w:color="auto"/>
        <w:bottom w:val="none" w:sz="0" w:space="0" w:color="auto"/>
        <w:right w:val="none" w:sz="0" w:space="0" w:color="auto"/>
      </w:divBdr>
      <w:divsChild>
        <w:div w:id="834299319">
          <w:marLeft w:val="0"/>
          <w:marRight w:val="0"/>
          <w:marTop w:val="0"/>
          <w:marBottom w:val="0"/>
          <w:divBdr>
            <w:top w:val="none" w:sz="0" w:space="0" w:color="auto"/>
            <w:left w:val="none" w:sz="0" w:space="0" w:color="auto"/>
            <w:bottom w:val="none" w:sz="0" w:space="0" w:color="auto"/>
            <w:right w:val="none" w:sz="0" w:space="0" w:color="auto"/>
          </w:divBdr>
        </w:div>
        <w:div w:id="1213540739">
          <w:marLeft w:val="0"/>
          <w:marRight w:val="0"/>
          <w:marTop w:val="0"/>
          <w:marBottom w:val="0"/>
          <w:divBdr>
            <w:top w:val="none" w:sz="0" w:space="0" w:color="auto"/>
            <w:left w:val="none" w:sz="0" w:space="0" w:color="auto"/>
            <w:bottom w:val="none" w:sz="0" w:space="0" w:color="auto"/>
            <w:right w:val="none" w:sz="0" w:space="0" w:color="auto"/>
          </w:divBdr>
        </w:div>
      </w:divsChild>
    </w:div>
    <w:div w:id="601959059">
      <w:bodyDiv w:val="1"/>
      <w:marLeft w:val="0"/>
      <w:marRight w:val="0"/>
      <w:marTop w:val="0"/>
      <w:marBottom w:val="0"/>
      <w:divBdr>
        <w:top w:val="none" w:sz="0" w:space="0" w:color="auto"/>
        <w:left w:val="none" w:sz="0" w:space="0" w:color="auto"/>
        <w:bottom w:val="none" w:sz="0" w:space="0" w:color="auto"/>
        <w:right w:val="none" w:sz="0" w:space="0" w:color="auto"/>
      </w:divBdr>
      <w:divsChild>
        <w:div w:id="807626748">
          <w:marLeft w:val="0"/>
          <w:marRight w:val="0"/>
          <w:marTop w:val="0"/>
          <w:marBottom w:val="0"/>
          <w:divBdr>
            <w:top w:val="none" w:sz="0" w:space="0" w:color="auto"/>
            <w:left w:val="none" w:sz="0" w:space="0" w:color="auto"/>
            <w:bottom w:val="none" w:sz="0" w:space="0" w:color="auto"/>
            <w:right w:val="none" w:sz="0" w:space="0" w:color="auto"/>
          </w:divBdr>
        </w:div>
        <w:div w:id="1370573497">
          <w:marLeft w:val="0"/>
          <w:marRight w:val="0"/>
          <w:marTop w:val="0"/>
          <w:marBottom w:val="0"/>
          <w:divBdr>
            <w:top w:val="none" w:sz="0" w:space="0" w:color="auto"/>
            <w:left w:val="none" w:sz="0" w:space="0" w:color="auto"/>
            <w:bottom w:val="none" w:sz="0" w:space="0" w:color="auto"/>
            <w:right w:val="none" w:sz="0" w:space="0" w:color="auto"/>
          </w:divBdr>
        </w:div>
        <w:div w:id="1157649658">
          <w:marLeft w:val="0"/>
          <w:marRight w:val="0"/>
          <w:marTop w:val="0"/>
          <w:marBottom w:val="0"/>
          <w:divBdr>
            <w:top w:val="none" w:sz="0" w:space="0" w:color="auto"/>
            <w:left w:val="none" w:sz="0" w:space="0" w:color="auto"/>
            <w:bottom w:val="none" w:sz="0" w:space="0" w:color="auto"/>
            <w:right w:val="none" w:sz="0" w:space="0" w:color="auto"/>
          </w:divBdr>
        </w:div>
      </w:divsChild>
    </w:div>
    <w:div w:id="613051895">
      <w:bodyDiv w:val="1"/>
      <w:marLeft w:val="0"/>
      <w:marRight w:val="0"/>
      <w:marTop w:val="0"/>
      <w:marBottom w:val="0"/>
      <w:divBdr>
        <w:top w:val="none" w:sz="0" w:space="0" w:color="auto"/>
        <w:left w:val="none" w:sz="0" w:space="0" w:color="auto"/>
        <w:bottom w:val="none" w:sz="0" w:space="0" w:color="auto"/>
        <w:right w:val="none" w:sz="0" w:space="0" w:color="auto"/>
      </w:divBdr>
      <w:divsChild>
        <w:div w:id="2072465514">
          <w:marLeft w:val="0"/>
          <w:marRight w:val="0"/>
          <w:marTop w:val="0"/>
          <w:marBottom w:val="0"/>
          <w:divBdr>
            <w:top w:val="none" w:sz="0" w:space="0" w:color="auto"/>
            <w:left w:val="none" w:sz="0" w:space="0" w:color="auto"/>
            <w:bottom w:val="none" w:sz="0" w:space="0" w:color="auto"/>
            <w:right w:val="none" w:sz="0" w:space="0" w:color="auto"/>
          </w:divBdr>
          <w:divsChild>
            <w:div w:id="15801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7571">
      <w:bodyDiv w:val="1"/>
      <w:marLeft w:val="0"/>
      <w:marRight w:val="0"/>
      <w:marTop w:val="0"/>
      <w:marBottom w:val="0"/>
      <w:divBdr>
        <w:top w:val="none" w:sz="0" w:space="0" w:color="auto"/>
        <w:left w:val="none" w:sz="0" w:space="0" w:color="auto"/>
        <w:bottom w:val="none" w:sz="0" w:space="0" w:color="auto"/>
        <w:right w:val="none" w:sz="0" w:space="0" w:color="auto"/>
      </w:divBdr>
      <w:divsChild>
        <w:div w:id="977105549">
          <w:marLeft w:val="0"/>
          <w:marRight w:val="0"/>
          <w:marTop w:val="0"/>
          <w:marBottom w:val="0"/>
          <w:divBdr>
            <w:top w:val="none" w:sz="0" w:space="0" w:color="auto"/>
            <w:left w:val="none" w:sz="0" w:space="0" w:color="auto"/>
            <w:bottom w:val="none" w:sz="0" w:space="0" w:color="auto"/>
            <w:right w:val="none" w:sz="0" w:space="0" w:color="auto"/>
          </w:divBdr>
          <w:divsChild>
            <w:div w:id="134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6711">
      <w:bodyDiv w:val="1"/>
      <w:marLeft w:val="0"/>
      <w:marRight w:val="0"/>
      <w:marTop w:val="0"/>
      <w:marBottom w:val="0"/>
      <w:divBdr>
        <w:top w:val="none" w:sz="0" w:space="0" w:color="auto"/>
        <w:left w:val="none" w:sz="0" w:space="0" w:color="auto"/>
        <w:bottom w:val="none" w:sz="0" w:space="0" w:color="auto"/>
        <w:right w:val="none" w:sz="0" w:space="0" w:color="auto"/>
      </w:divBdr>
      <w:divsChild>
        <w:div w:id="1369334725">
          <w:marLeft w:val="0"/>
          <w:marRight w:val="0"/>
          <w:marTop w:val="0"/>
          <w:marBottom w:val="0"/>
          <w:divBdr>
            <w:top w:val="none" w:sz="0" w:space="0" w:color="auto"/>
            <w:left w:val="none" w:sz="0" w:space="0" w:color="auto"/>
            <w:bottom w:val="none" w:sz="0" w:space="0" w:color="auto"/>
            <w:right w:val="none" w:sz="0" w:space="0" w:color="auto"/>
          </w:divBdr>
        </w:div>
        <w:div w:id="651249537">
          <w:marLeft w:val="0"/>
          <w:marRight w:val="0"/>
          <w:marTop w:val="0"/>
          <w:marBottom w:val="0"/>
          <w:divBdr>
            <w:top w:val="none" w:sz="0" w:space="0" w:color="auto"/>
            <w:left w:val="none" w:sz="0" w:space="0" w:color="auto"/>
            <w:bottom w:val="none" w:sz="0" w:space="0" w:color="auto"/>
            <w:right w:val="none" w:sz="0" w:space="0" w:color="auto"/>
          </w:divBdr>
        </w:div>
      </w:divsChild>
    </w:div>
    <w:div w:id="1049957970">
      <w:bodyDiv w:val="1"/>
      <w:marLeft w:val="0"/>
      <w:marRight w:val="0"/>
      <w:marTop w:val="0"/>
      <w:marBottom w:val="0"/>
      <w:divBdr>
        <w:top w:val="none" w:sz="0" w:space="0" w:color="auto"/>
        <w:left w:val="none" w:sz="0" w:space="0" w:color="auto"/>
        <w:bottom w:val="none" w:sz="0" w:space="0" w:color="auto"/>
        <w:right w:val="none" w:sz="0" w:space="0" w:color="auto"/>
      </w:divBdr>
      <w:divsChild>
        <w:div w:id="1910534967">
          <w:marLeft w:val="0"/>
          <w:marRight w:val="0"/>
          <w:marTop w:val="0"/>
          <w:marBottom w:val="0"/>
          <w:divBdr>
            <w:top w:val="none" w:sz="0" w:space="0" w:color="auto"/>
            <w:left w:val="none" w:sz="0" w:space="0" w:color="auto"/>
            <w:bottom w:val="none" w:sz="0" w:space="0" w:color="auto"/>
            <w:right w:val="none" w:sz="0" w:space="0" w:color="auto"/>
          </w:divBdr>
          <w:divsChild>
            <w:div w:id="1340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6106">
      <w:bodyDiv w:val="1"/>
      <w:marLeft w:val="0"/>
      <w:marRight w:val="0"/>
      <w:marTop w:val="0"/>
      <w:marBottom w:val="0"/>
      <w:divBdr>
        <w:top w:val="none" w:sz="0" w:space="0" w:color="auto"/>
        <w:left w:val="none" w:sz="0" w:space="0" w:color="auto"/>
        <w:bottom w:val="none" w:sz="0" w:space="0" w:color="auto"/>
        <w:right w:val="none" w:sz="0" w:space="0" w:color="auto"/>
      </w:divBdr>
      <w:divsChild>
        <w:div w:id="1313218530">
          <w:marLeft w:val="0"/>
          <w:marRight w:val="0"/>
          <w:marTop w:val="0"/>
          <w:marBottom w:val="0"/>
          <w:divBdr>
            <w:top w:val="none" w:sz="0" w:space="0" w:color="auto"/>
            <w:left w:val="none" w:sz="0" w:space="0" w:color="auto"/>
            <w:bottom w:val="none" w:sz="0" w:space="0" w:color="auto"/>
            <w:right w:val="none" w:sz="0" w:space="0" w:color="auto"/>
          </w:divBdr>
          <w:divsChild>
            <w:div w:id="3289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6530">
      <w:bodyDiv w:val="1"/>
      <w:marLeft w:val="0"/>
      <w:marRight w:val="0"/>
      <w:marTop w:val="0"/>
      <w:marBottom w:val="0"/>
      <w:divBdr>
        <w:top w:val="none" w:sz="0" w:space="0" w:color="auto"/>
        <w:left w:val="none" w:sz="0" w:space="0" w:color="auto"/>
        <w:bottom w:val="none" w:sz="0" w:space="0" w:color="auto"/>
        <w:right w:val="none" w:sz="0" w:space="0" w:color="auto"/>
      </w:divBdr>
      <w:divsChild>
        <w:div w:id="840972504">
          <w:marLeft w:val="0"/>
          <w:marRight w:val="0"/>
          <w:marTop w:val="0"/>
          <w:marBottom w:val="0"/>
          <w:divBdr>
            <w:top w:val="none" w:sz="0" w:space="0" w:color="auto"/>
            <w:left w:val="none" w:sz="0" w:space="0" w:color="auto"/>
            <w:bottom w:val="none" w:sz="0" w:space="0" w:color="auto"/>
            <w:right w:val="none" w:sz="0" w:space="0" w:color="auto"/>
          </w:divBdr>
          <w:divsChild>
            <w:div w:id="20997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5279">
      <w:bodyDiv w:val="1"/>
      <w:marLeft w:val="0"/>
      <w:marRight w:val="0"/>
      <w:marTop w:val="0"/>
      <w:marBottom w:val="0"/>
      <w:divBdr>
        <w:top w:val="none" w:sz="0" w:space="0" w:color="auto"/>
        <w:left w:val="none" w:sz="0" w:space="0" w:color="auto"/>
        <w:bottom w:val="none" w:sz="0" w:space="0" w:color="auto"/>
        <w:right w:val="none" w:sz="0" w:space="0" w:color="auto"/>
      </w:divBdr>
      <w:divsChild>
        <w:div w:id="2122336887">
          <w:marLeft w:val="0"/>
          <w:marRight w:val="0"/>
          <w:marTop w:val="0"/>
          <w:marBottom w:val="0"/>
          <w:divBdr>
            <w:top w:val="none" w:sz="0" w:space="0" w:color="auto"/>
            <w:left w:val="none" w:sz="0" w:space="0" w:color="auto"/>
            <w:bottom w:val="none" w:sz="0" w:space="0" w:color="auto"/>
            <w:right w:val="none" w:sz="0" w:space="0" w:color="auto"/>
          </w:divBdr>
          <w:divsChild>
            <w:div w:id="12537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077">
      <w:bodyDiv w:val="1"/>
      <w:marLeft w:val="0"/>
      <w:marRight w:val="0"/>
      <w:marTop w:val="0"/>
      <w:marBottom w:val="0"/>
      <w:divBdr>
        <w:top w:val="none" w:sz="0" w:space="0" w:color="auto"/>
        <w:left w:val="none" w:sz="0" w:space="0" w:color="auto"/>
        <w:bottom w:val="none" w:sz="0" w:space="0" w:color="auto"/>
        <w:right w:val="none" w:sz="0" w:space="0" w:color="auto"/>
      </w:divBdr>
    </w:div>
    <w:div w:id="1510489643">
      <w:bodyDiv w:val="1"/>
      <w:marLeft w:val="0"/>
      <w:marRight w:val="0"/>
      <w:marTop w:val="0"/>
      <w:marBottom w:val="0"/>
      <w:divBdr>
        <w:top w:val="none" w:sz="0" w:space="0" w:color="auto"/>
        <w:left w:val="none" w:sz="0" w:space="0" w:color="auto"/>
        <w:bottom w:val="none" w:sz="0" w:space="0" w:color="auto"/>
        <w:right w:val="none" w:sz="0" w:space="0" w:color="auto"/>
      </w:divBdr>
      <w:divsChild>
        <w:div w:id="644041829">
          <w:marLeft w:val="0"/>
          <w:marRight w:val="0"/>
          <w:marTop w:val="0"/>
          <w:marBottom w:val="0"/>
          <w:divBdr>
            <w:top w:val="none" w:sz="0" w:space="0" w:color="auto"/>
            <w:left w:val="none" w:sz="0" w:space="0" w:color="auto"/>
            <w:bottom w:val="none" w:sz="0" w:space="0" w:color="auto"/>
            <w:right w:val="none" w:sz="0" w:space="0" w:color="auto"/>
          </w:divBdr>
        </w:div>
        <w:div w:id="1340813664">
          <w:marLeft w:val="0"/>
          <w:marRight w:val="0"/>
          <w:marTop w:val="0"/>
          <w:marBottom w:val="0"/>
          <w:divBdr>
            <w:top w:val="none" w:sz="0" w:space="0" w:color="auto"/>
            <w:left w:val="none" w:sz="0" w:space="0" w:color="auto"/>
            <w:bottom w:val="none" w:sz="0" w:space="0" w:color="auto"/>
            <w:right w:val="none" w:sz="0" w:space="0" w:color="auto"/>
          </w:divBdr>
        </w:div>
        <w:div w:id="1426615713">
          <w:marLeft w:val="0"/>
          <w:marRight w:val="0"/>
          <w:marTop w:val="0"/>
          <w:marBottom w:val="0"/>
          <w:divBdr>
            <w:top w:val="none" w:sz="0" w:space="0" w:color="auto"/>
            <w:left w:val="none" w:sz="0" w:space="0" w:color="auto"/>
            <w:bottom w:val="none" w:sz="0" w:space="0" w:color="auto"/>
            <w:right w:val="none" w:sz="0" w:space="0" w:color="auto"/>
          </w:divBdr>
        </w:div>
      </w:divsChild>
    </w:div>
    <w:div w:id="1560434348">
      <w:bodyDiv w:val="1"/>
      <w:marLeft w:val="0"/>
      <w:marRight w:val="0"/>
      <w:marTop w:val="0"/>
      <w:marBottom w:val="0"/>
      <w:divBdr>
        <w:top w:val="none" w:sz="0" w:space="0" w:color="auto"/>
        <w:left w:val="none" w:sz="0" w:space="0" w:color="auto"/>
        <w:bottom w:val="none" w:sz="0" w:space="0" w:color="auto"/>
        <w:right w:val="none" w:sz="0" w:space="0" w:color="auto"/>
      </w:divBdr>
      <w:divsChild>
        <w:div w:id="242841057">
          <w:marLeft w:val="0"/>
          <w:marRight w:val="0"/>
          <w:marTop w:val="0"/>
          <w:marBottom w:val="0"/>
          <w:divBdr>
            <w:top w:val="none" w:sz="0" w:space="0" w:color="auto"/>
            <w:left w:val="none" w:sz="0" w:space="0" w:color="auto"/>
            <w:bottom w:val="none" w:sz="0" w:space="0" w:color="auto"/>
            <w:right w:val="none" w:sz="0" w:space="0" w:color="auto"/>
          </w:divBdr>
          <w:divsChild>
            <w:div w:id="10187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1661">
      <w:bodyDiv w:val="1"/>
      <w:marLeft w:val="0"/>
      <w:marRight w:val="0"/>
      <w:marTop w:val="0"/>
      <w:marBottom w:val="0"/>
      <w:divBdr>
        <w:top w:val="none" w:sz="0" w:space="0" w:color="auto"/>
        <w:left w:val="none" w:sz="0" w:space="0" w:color="auto"/>
        <w:bottom w:val="none" w:sz="0" w:space="0" w:color="auto"/>
        <w:right w:val="none" w:sz="0" w:space="0" w:color="auto"/>
      </w:divBdr>
      <w:divsChild>
        <w:div w:id="26103562">
          <w:marLeft w:val="0"/>
          <w:marRight w:val="0"/>
          <w:marTop w:val="0"/>
          <w:marBottom w:val="0"/>
          <w:divBdr>
            <w:top w:val="none" w:sz="0" w:space="0" w:color="auto"/>
            <w:left w:val="none" w:sz="0" w:space="0" w:color="auto"/>
            <w:bottom w:val="none" w:sz="0" w:space="0" w:color="auto"/>
            <w:right w:val="none" w:sz="0" w:space="0" w:color="auto"/>
          </w:divBdr>
          <w:divsChild>
            <w:div w:id="8820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5194">
      <w:bodyDiv w:val="1"/>
      <w:marLeft w:val="0"/>
      <w:marRight w:val="0"/>
      <w:marTop w:val="0"/>
      <w:marBottom w:val="0"/>
      <w:divBdr>
        <w:top w:val="none" w:sz="0" w:space="0" w:color="auto"/>
        <w:left w:val="none" w:sz="0" w:space="0" w:color="auto"/>
        <w:bottom w:val="none" w:sz="0" w:space="0" w:color="auto"/>
        <w:right w:val="none" w:sz="0" w:space="0" w:color="auto"/>
      </w:divBdr>
      <w:divsChild>
        <w:div w:id="923805758">
          <w:marLeft w:val="0"/>
          <w:marRight w:val="0"/>
          <w:marTop w:val="0"/>
          <w:marBottom w:val="0"/>
          <w:divBdr>
            <w:top w:val="none" w:sz="0" w:space="0" w:color="auto"/>
            <w:left w:val="none" w:sz="0" w:space="0" w:color="auto"/>
            <w:bottom w:val="none" w:sz="0" w:space="0" w:color="auto"/>
            <w:right w:val="none" w:sz="0" w:space="0" w:color="auto"/>
          </w:divBdr>
          <w:divsChild>
            <w:div w:id="15233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7149">
      <w:bodyDiv w:val="1"/>
      <w:marLeft w:val="0"/>
      <w:marRight w:val="0"/>
      <w:marTop w:val="0"/>
      <w:marBottom w:val="0"/>
      <w:divBdr>
        <w:top w:val="none" w:sz="0" w:space="0" w:color="auto"/>
        <w:left w:val="none" w:sz="0" w:space="0" w:color="auto"/>
        <w:bottom w:val="none" w:sz="0" w:space="0" w:color="auto"/>
        <w:right w:val="none" w:sz="0" w:space="0" w:color="auto"/>
      </w:divBdr>
      <w:divsChild>
        <w:div w:id="449934140">
          <w:marLeft w:val="0"/>
          <w:marRight w:val="0"/>
          <w:marTop w:val="0"/>
          <w:marBottom w:val="0"/>
          <w:divBdr>
            <w:top w:val="none" w:sz="0" w:space="0" w:color="auto"/>
            <w:left w:val="none" w:sz="0" w:space="0" w:color="auto"/>
            <w:bottom w:val="none" w:sz="0" w:space="0" w:color="auto"/>
            <w:right w:val="none" w:sz="0" w:space="0" w:color="auto"/>
          </w:divBdr>
          <w:divsChild>
            <w:div w:id="3430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3416">
      <w:bodyDiv w:val="1"/>
      <w:marLeft w:val="0"/>
      <w:marRight w:val="0"/>
      <w:marTop w:val="0"/>
      <w:marBottom w:val="0"/>
      <w:divBdr>
        <w:top w:val="none" w:sz="0" w:space="0" w:color="auto"/>
        <w:left w:val="none" w:sz="0" w:space="0" w:color="auto"/>
        <w:bottom w:val="none" w:sz="0" w:space="0" w:color="auto"/>
        <w:right w:val="none" w:sz="0" w:space="0" w:color="auto"/>
      </w:divBdr>
      <w:divsChild>
        <w:div w:id="68504897">
          <w:marLeft w:val="0"/>
          <w:marRight w:val="0"/>
          <w:marTop w:val="0"/>
          <w:marBottom w:val="0"/>
          <w:divBdr>
            <w:top w:val="none" w:sz="0" w:space="0" w:color="auto"/>
            <w:left w:val="none" w:sz="0" w:space="0" w:color="auto"/>
            <w:bottom w:val="none" w:sz="0" w:space="0" w:color="auto"/>
            <w:right w:val="none" w:sz="0" w:space="0" w:color="auto"/>
          </w:divBdr>
          <w:divsChild>
            <w:div w:id="548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18">
      <w:bodyDiv w:val="1"/>
      <w:marLeft w:val="0"/>
      <w:marRight w:val="0"/>
      <w:marTop w:val="0"/>
      <w:marBottom w:val="0"/>
      <w:divBdr>
        <w:top w:val="none" w:sz="0" w:space="0" w:color="auto"/>
        <w:left w:val="none" w:sz="0" w:space="0" w:color="auto"/>
        <w:bottom w:val="none" w:sz="0" w:space="0" w:color="auto"/>
        <w:right w:val="none" w:sz="0" w:space="0" w:color="auto"/>
      </w:divBdr>
      <w:divsChild>
        <w:div w:id="390929766">
          <w:marLeft w:val="0"/>
          <w:marRight w:val="0"/>
          <w:marTop w:val="0"/>
          <w:marBottom w:val="0"/>
          <w:divBdr>
            <w:top w:val="none" w:sz="0" w:space="0" w:color="auto"/>
            <w:left w:val="none" w:sz="0" w:space="0" w:color="auto"/>
            <w:bottom w:val="none" w:sz="0" w:space="0" w:color="auto"/>
            <w:right w:val="none" w:sz="0" w:space="0" w:color="auto"/>
          </w:divBdr>
          <w:divsChild>
            <w:div w:id="1918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4721">
      <w:bodyDiv w:val="1"/>
      <w:marLeft w:val="0"/>
      <w:marRight w:val="0"/>
      <w:marTop w:val="0"/>
      <w:marBottom w:val="0"/>
      <w:divBdr>
        <w:top w:val="none" w:sz="0" w:space="0" w:color="auto"/>
        <w:left w:val="none" w:sz="0" w:space="0" w:color="auto"/>
        <w:bottom w:val="none" w:sz="0" w:space="0" w:color="auto"/>
        <w:right w:val="none" w:sz="0" w:space="0" w:color="auto"/>
      </w:divBdr>
      <w:divsChild>
        <w:div w:id="1602642957">
          <w:marLeft w:val="0"/>
          <w:marRight w:val="0"/>
          <w:marTop w:val="0"/>
          <w:marBottom w:val="0"/>
          <w:divBdr>
            <w:top w:val="none" w:sz="0" w:space="0" w:color="auto"/>
            <w:left w:val="none" w:sz="0" w:space="0" w:color="auto"/>
            <w:bottom w:val="none" w:sz="0" w:space="0" w:color="auto"/>
            <w:right w:val="none" w:sz="0" w:space="0" w:color="auto"/>
          </w:divBdr>
          <w:divsChild>
            <w:div w:id="1209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8461">
      <w:bodyDiv w:val="1"/>
      <w:marLeft w:val="0"/>
      <w:marRight w:val="0"/>
      <w:marTop w:val="0"/>
      <w:marBottom w:val="0"/>
      <w:divBdr>
        <w:top w:val="none" w:sz="0" w:space="0" w:color="auto"/>
        <w:left w:val="none" w:sz="0" w:space="0" w:color="auto"/>
        <w:bottom w:val="none" w:sz="0" w:space="0" w:color="auto"/>
        <w:right w:val="none" w:sz="0" w:space="0" w:color="auto"/>
      </w:divBdr>
      <w:divsChild>
        <w:div w:id="767896052">
          <w:marLeft w:val="0"/>
          <w:marRight w:val="0"/>
          <w:marTop w:val="0"/>
          <w:marBottom w:val="0"/>
          <w:divBdr>
            <w:top w:val="none" w:sz="0" w:space="0" w:color="auto"/>
            <w:left w:val="none" w:sz="0" w:space="0" w:color="auto"/>
            <w:bottom w:val="none" w:sz="0" w:space="0" w:color="auto"/>
            <w:right w:val="none" w:sz="0" w:space="0" w:color="auto"/>
          </w:divBdr>
          <w:divsChild>
            <w:div w:id="17473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39082">
      <w:bodyDiv w:val="1"/>
      <w:marLeft w:val="0"/>
      <w:marRight w:val="0"/>
      <w:marTop w:val="0"/>
      <w:marBottom w:val="0"/>
      <w:divBdr>
        <w:top w:val="none" w:sz="0" w:space="0" w:color="auto"/>
        <w:left w:val="none" w:sz="0" w:space="0" w:color="auto"/>
        <w:bottom w:val="none" w:sz="0" w:space="0" w:color="auto"/>
        <w:right w:val="none" w:sz="0" w:space="0" w:color="auto"/>
      </w:divBdr>
    </w:div>
    <w:div w:id="2011253148">
      <w:bodyDiv w:val="1"/>
      <w:marLeft w:val="0"/>
      <w:marRight w:val="0"/>
      <w:marTop w:val="0"/>
      <w:marBottom w:val="0"/>
      <w:divBdr>
        <w:top w:val="none" w:sz="0" w:space="0" w:color="auto"/>
        <w:left w:val="none" w:sz="0" w:space="0" w:color="auto"/>
        <w:bottom w:val="none" w:sz="0" w:space="0" w:color="auto"/>
        <w:right w:val="none" w:sz="0" w:space="0" w:color="auto"/>
      </w:divBdr>
      <w:divsChild>
        <w:div w:id="1554274790">
          <w:marLeft w:val="0"/>
          <w:marRight w:val="0"/>
          <w:marTop w:val="0"/>
          <w:marBottom w:val="0"/>
          <w:divBdr>
            <w:top w:val="none" w:sz="0" w:space="0" w:color="auto"/>
            <w:left w:val="none" w:sz="0" w:space="0" w:color="auto"/>
            <w:bottom w:val="none" w:sz="0" w:space="0" w:color="auto"/>
            <w:right w:val="none" w:sz="0" w:space="0" w:color="auto"/>
          </w:divBdr>
          <w:divsChild>
            <w:div w:id="7061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6679">
      <w:bodyDiv w:val="1"/>
      <w:marLeft w:val="0"/>
      <w:marRight w:val="0"/>
      <w:marTop w:val="0"/>
      <w:marBottom w:val="0"/>
      <w:divBdr>
        <w:top w:val="none" w:sz="0" w:space="0" w:color="auto"/>
        <w:left w:val="none" w:sz="0" w:space="0" w:color="auto"/>
        <w:bottom w:val="none" w:sz="0" w:space="0" w:color="auto"/>
        <w:right w:val="none" w:sz="0" w:space="0" w:color="auto"/>
      </w:divBdr>
      <w:divsChild>
        <w:div w:id="155654456">
          <w:marLeft w:val="0"/>
          <w:marRight w:val="0"/>
          <w:marTop w:val="0"/>
          <w:marBottom w:val="0"/>
          <w:divBdr>
            <w:top w:val="none" w:sz="0" w:space="0" w:color="auto"/>
            <w:left w:val="none" w:sz="0" w:space="0" w:color="auto"/>
            <w:bottom w:val="none" w:sz="0" w:space="0" w:color="auto"/>
            <w:right w:val="none" w:sz="0" w:space="0" w:color="auto"/>
          </w:divBdr>
          <w:divsChild>
            <w:div w:id="14060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lakes.org/" TargetMode="External"/><Relationship Id="rId18" Type="http://schemas.openxmlformats.org/officeDocument/2006/relationships/hyperlink" Target="https://www.lincoln.ac.uk/home/engineering/" TargetMode="External"/><Relationship Id="rId26" Type="http://schemas.openxmlformats.org/officeDocument/2006/relationships/hyperlink" Target="http://www.universitiesuk.ac.uk/highereducation/Pages/TrendsInUndergraduateRecruitment.aspx" TargetMode="External"/><Relationship Id="rId3" Type="http://schemas.openxmlformats.org/officeDocument/2006/relationships/customXml" Target="../customXml/item3.xml"/><Relationship Id="rId21" Type="http://schemas.openxmlformats.org/officeDocument/2006/relationships/hyperlink" Target="http://www2.warwick.ac.uk/fac/soc/ier/futuretrack/stage_4_report_final_30_10_2013.pdf" TargetMode="External"/><Relationship Id="rId7" Type="http://schemas.openxmlformats.org/officeDocument/2006/relationships/settings" Target="settings.xml"/><Relationship Id="rId12" Type="http://schemas.openxmlformats.org/officeDocument/2006/relationships/hyperlink" Target="https://www.gov.uk/government/uploads/system/uploads/attachment_data/file/417327/bis_15_267_SBEE_Act_Education_Evaluation_Fact_sheet.pdf" TargetMode="External"/><Relationship Id="rId17" Type="http://schemas.openxmlformats.org/officeDocument/2006/relationships/hyperlink" Target="https://www.gov.uk/government/speeches/teaching-at-the-heart-of-the-system" TargetMode="External"/><Relationship Id="rId25" Type="http://schemas.openxmlformats.org/officeDocument/2006/relationships/hyperlink" Target="http://www.universitiesuk.ac.uk/highereducation/Pages/WhyInvestInUniversities.aspx#.VaS-WUZAbRI" TargetMode="External"/><Relationship Id="rId2" Type="http://schemas.openxmlformats.org/officeDocument/2006/relationships/customXml" Target="../customXml/item2.xml"/><Relationship Id="rId16" Type="http://schemas.openxmlformats.org/officeDocument/2006/relationships/hyperlink" Target="http://www.hud.ac.uk/enterpriseandentrepreneurship/" TargetMode="External"/><Relationship Id="rId20" Type="http://schemas.openxmlformats.org/officeDocument/2006/relationships/hyperlink" Target="http://beta.nusconnect.org.uk/resources/commission-on-the-future-of-work" TargetMode="External"/><Relationship Id="rId29" Type="http://schemas.openxmlformats.org/officeDocument/2006/relationships/hyperlink" Target="https://www.gov.uk/government/publications/enterprise-for-all-the-relevance-of-enterprise-in-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small-business-enterprise-and-employment-bill" TargetMode="External"/><Relationship Id="rId24" Type="http://schemas.openxmlformats.org/officeDocument/2006/relationships/hyperlink" Target="https://www.gov.uk/government/publications/jobs-and-skills-in-2030" TargetMode="External"/><Relationship Id="rId5" Type="http://schemas.openxmlformats.org/officeDocument/2006/relationships/numbering" Target="numbering.xml"/><Relationship Id="rId15" Type="http://schemas.openxmlformats.org/officeDocument/2006/relationships/hyperlink" Target="http://www.hefce.ac.uk/pubs/year/2011/201102/" TargetMode="External"/><Relationship Id="rId23" Type="http://schemas.openxmlformats.org/officeDocument/2006/relationships/hyperlink" Target="http://www.policyconnect.org.uk/research/still-tune-skills-system-and-changing-structures-work" TargetMode="External"/><Relationship Id="rId28" Type="http://schemas.openxmlformats.org/officeDocument/2006/relationships/hyperlink" Target="http://www.universitiesuk.ac.uk/highereducation/Pages/ChangesInStudentChoices.aspx" TargetMode="External"/><Relationship Id="rId10" Type="http://schemas.openxmlformats.org/officeDocument/2006/relationships/endnotes" Target="endnotes.xml"/><Relationship Id="rId19" Type="http://schemas.openxmlformats.org/officeDocument/2006/relationships/hyperlink" Target="http://blogs.gre.ac.uk/vc/2014/02/11/improving-student-employabili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cas.org.uk/agcas_resources/567-The-way-we-ll-work-Labour-market-trends-and-preparing-for-the-hourglass" TargetMode="External"/><Relationship Id="rId22" Type="http://schemas.openxmlformats.org/officeDocument/2006/relationships/hyperlink" Target="http://www.ncub.co.uk/blog/what-s-business-got-to-do-with-universities.html" TargetMode="External"/><Relationship Id="rId27" Type="http://schemas.openxmlformats.org/officeDocument/2006/relationships/hyperlink" Target="http://www.universitiesuk.ac.uk/highereducation/Pages/ForgingFuture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f18300d896fed21b273b0921d88a5614">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1551e3f1bd012c4f155f96e921011353"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Specification</Doc_x0020_description>
    <Relates_x0020_to xmlns="a45e714d-71aa-41bd-a0fb-0b18d003f343">15</Relates_x0020_to>
    <SharedWithUsers xmlns="9b9937a8-eafa-4a27-b809-98474ec73a55">
      <UserInfo>
        <DisplayName>Adam Van Coevorden</DisplayName>
        <AccountId>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7F65-C488-42F9-8EE6-C9AEBF790F78}">
  <ds:schemaRefs>
    <ds:schemaRef ds:uri="http://schemas.microsoft.com/sharepoint/v3/contenttype/forms"/>
  </ds:schemaRefs>
</ds:datastoreItem>
</file>

<file path=customXml/itemProps2.xml><?xml version="1.0" encoding="utf-8"?>
<ds:datastoreItem xmlns:ds="http://schemas.openxmlformats.org/officeDocument/2006/customXml" ds:itemID="{ED8B09AA-F3E2-4352-957F-E43A38EDA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B6C73-02C4-4F02-ABE7-3396B169C178}">
  <ds:schemaRefs>
    <ds:schemaRef ds:uri="9b9937a8-eafa-4a27-b809-98474ec73a55"/>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5677653f-c5f2-48a5-85d0-ca15fa286beb"/>
    <ds:schemaRef ds:uri="http://schemas.openxmlformats.org/package/2006/metadata/core-properties"/>
    <ds:schemaRef ds:uri="a45e714d-71aa-41bd-a0fb-0b18d003f34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3483220-E59B-417F-A81A-19E194F2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E0B75EFA.dotm</Template>
  <TotalTime>242</TotalTime>
  <Pages>3</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Higher Education student outcomes and destinations - a review of information needs</vt:lpstr>
    </vt:vector>
  </TitlesOfParts>
  <Company>HESA</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student outcomes and destinations - a review of information needs</dc:title>
  <dc:subject/>
  <dc:creator>Rachel Hewitt</dc:creator>
  <cp:keywords/>
  <dc:description/>
  <cp:lastModifiedBy>Dan Cook</cp:lastModifiedBy>
  <cp:revision>109</cp:revision>
  <dcterms:created xsi:type="dcterms:W3CDTF">2015-03-27T10:24:00Z</dcterms:created>
  <dcterms:modified xsi:type="dcterms:W3CDTF">2015-07-15T16:49:00Z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