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6A7BB6" w:rsidP="005A203B" w:rsidRDefault="00EB6CF9" w14:paraId="4C82DDA9" w14:textId="77777777">
      <w:pPr>
        <w:spacing w:after="0" w:line="240" w:lineRule="auto"/>
        <w:rPr>
          <w:rStyle w:val="Bold"/>
        </w:rPr>
      </w:pPr>
      <w:r w:rsidRPr="00D46C5D">
        <w:rPr>
          <w:rStyle w:val="Bold"/>
        </w:rPr>
        <w:fldChar w:fldCharType="begin"/>
      </w:r>
      <w:r w:rsidRPr="00D46C5D">
        <w:rPr>
          <w:rStyle w:val="Bold"/>
        </w:rPr>
        <w:instrText xml:space="preserve"> FILLIN  \d "Type CONFIDENTIAL if required or press Delete key to remove and OK button"  \* MERGEFORMAT </w:instrText>
      </w:r>
      <w:r w:rsidRPr="00D46C5D">
        <w:rPr>
          <w:rStyle w:val="Bold"/>
        </w:rPr>
        <w:fldChar w:fldCharType="end"/>
      </w:r>
    </w:p>
    <w:p w:rsidR="007141E3" w:rsidP="005A203B" w:rsidRDefault="007141E3" w14:paraId="537E6DC4" w14:textId="77777777">
      <w:pPr>
        <w:pStyle w:val="Caption"/>
        <w:spacing w:after="0"/>
        <w:rPr>
          <w:rStyle w:val="Bold"/>
          <w:i w:val="0"/>
          <w:iCs w:val="0"/>
          <w:sz w:val="22"/>
          <w:szCs w:val="22"/>
        </w:rPr>
      </w:pPr>
    </w:p>
    <w:p w:rsidRPr="00C82648" w:rsidR="00EA57A3" w:rsidP="00EA57A3" w:rsidRDefault="00EA57A3" w14:paraId="3445DC15" w14:textId="77777777" w14:noSpellErr="1">
      <w:pPr>
        <w:pStyle w:val="Heading1"/>
        <w:rPr>
          <w:b w:val="0"/>
        </w:rPr>
      </w:pPr>
      <w:r w:rsidR="5194EB8E">
        <w:rPr>
          <w:b w:val="0"/>
          <w:bCs w:val="0"/>
        </w:rPr>
        <w:t>review of graduate destinations and outcomes data – working group 4</w:t>
      </w:r>
    </w:p>
    <w:p w:rsidR="00EA57A3" w:rsidP="00EA57A3" w:rsidRDefault="00EA57A3" w14:paraId="7718F056" w14:textId="77777777">
      <w:pPr>
        <w:pStyle w:val="Body-text"/>
      </w:pPr>
    </w:p>
    <w:p w:rsidR="00EA57A3" w:rsidP="00EA57A3" w:rsidRDefault="00EA57A3" w14:paraId="12C903DD" w14:textId="77777777">
      <w:pPr>
        <w:pStyle w:val="Heading2"/>
      </w:pPr>
      <w:r w:rsidR="5194EB8E">
        <w:rPr/>
        <w:t>24</w:t>
      </w:r>
      <w:r w:rsidRPr="5194EB8E" w:rsidR="5194EB8E">
        <w:rPr>
          <w:vertAlign w:val="superscript"/>
        </w:rPr>
        <w:t xml:space="preserve"> </w:t>
      </w:r>
      <w:r w:rsidR="5194EB8E">
        <w:rPr/>
        <w:t xml:space="preserve">October 11:00 – 25 </w:t>
      </w:r>
      <w:proofErr w:type="spellStart"/>
      <w:r w:rsidR="5194EB8E">
        <w:rPr/>
        <w:t>october</w:t>
      </w:r>
      <w:proofErr w:type="spellEnd"/>
      <w:r w:rsidR="5194EB8E">
        <w:rPr/>
        <w:t xml:space="preserve"> 14:30</w:t>
      </w:r>
    </w:p>
    <w:p w:rsidR="00EA57A3" w:rsidP="00EA57A3" w:rsidRDefault="00EA57A3" w14:paraId="44A5E910" w14:textId="77777777">
      <w:pPr>
        <w:pStyle w:val="Heading2"/>
      </w:pPr>
      <w:r w:rsidR="5194EB8E">
        <w:rPr/>
        <w:t xml:space="preserve">HESA OFFICES, 95 the promenade, </w:t>
      </w:r>
      <w:proofErr w:type="spellStart"/>
      <w:r w:rsidR="5194EB8E">
        <w:rPr/>
        <w:t>cheltenham</w:t>
      </w:r>
      <w:proofErr w:type="spellEnd"/>
      <w:r w:rsidR="5194EB8E">
        <w:rPr/>
        <w:t>, gl50 1hz</w:t>
      </w:r>
    </w:p>
    <w:p w:rsidR="00894B0C" w:rsidP="005A203B" w:rsidRDefault="00E67A3A" w14:paraId="2BEAD1FF" w14:textId="77777777" w14:noSpellErr="1">
      <w:pPr>
        <w:pStyle w:val="Heading1"/>
        <w:jc w:val="right"/>
      </w:pPr>
      <w:r w:rsidR="5194EB8E">
        <w:rPr/>
        <w:t>paper no:</w:t>
      </w:r>
      <w:r w:rsidR="5194EB8E">
        <w:rPr/>
        <w:t xml:space="preserve"> 5</w:t>
      </w:r>
    </w:p>
    <w:p w:rsidR="00894B0C" w:rsidP="005A203B" w:rsidRDefault="00894B0C" w14:paraId="6A86EC8A" w14:textId="77777777">
      <w:pPr>
        <w:spacing w:after="0" w:line="240" w:lineRule="auto"/>
      </w:pPr>
    </w:p>
    <w:p w:rsidR="00894B0C" w:rsidP="005A203B" w:rsidRDefault="00EA57A3" w14:paraId="552D6038" w14:textId="77777777" w14:noSpellErr="1">
      <w:pPr>
        <w:pStyle w:val="Heading1"/>
      </w:pPr>
      <w:r w:rsidR="5194EB8E">
        <w:rPr/>
        <w:t>Centralisation</w:t>
      </w:r>
    </w:p>
    <w:p w:rsidR="00894B0C" w:rsidP="005A203B" w:rsidRDefault="00894B0C" w14:paraId="48D1285F" w14:textId="77777777">
      <w:pPr>
        <w:spacing w:after="0" w:line="240" w:lineRule="auto"/>
      </w:pPr>
    </w:p>
    <w:p w:rsidR="00E9139F" w:rsidP="00E9139F" w:rsidRDefault="00E9139F" w14:noSpellErr="1" w14:paraId="00A5E053" w14:textId="71B089AE">
      <w:pPr>
        <w:pStyle w:val="Heading2"/>
      </w:pPr>
      <w:r w:rsidR="5194EB8E">
        <w:rPr/>
        <w:t>Strategic Group guidance</w:t>
      </w:r>
    </w:p>
    <w:p w:rsidR="00E9139F" w:rsidP="5194EB8E" w:rsidRDefault="00E9139F" w14:noSpellErr="1" w14:paraId="75663510" w14:textId="380DC773">
      <w:pPr>
        <w:pStyle w:val="Body-text"/>
      </w:pPr>
      <w:r w:rsidRPr="5194EB8E" w:rsidR="5194EB8E">
        <w:rPr/>
        <w:t xml:space="preserve">The </w:t>
      </w:r>
      <w:r w:rsidRPr="5194EB8E" w:rsidR="5194EB8E">
        <w:rPr/>
        <w:t xml:space="preserve">Strategic Group advised us to task the Working Group with producing an implementable design for centralisation, that prioritises obtaining the highest-quality contextualising data, while </w:t>
      </w:r>
      <w:r w:rsidRPr="5194EB8E" w:rsidR="5194EB8E">
        <w:rPr/>
        <w:t>addressing HE providers' practical concerns.</w:t>
      </w:r>
    </w:p>
    <w:p w:rsidR="00E9139F" w:rsidP="5194EB8E" w:rsidRDefault="00E9139F" w14:noSpellErr="1" w14:paraId="067A91DB" w14:textId="36E4B8D6">
      <w:pPr/>
      <w:r>
        <w:drawing>
          <wp:inline wp14:editId="585B6089" wp14:anchorId="65A309FA">
            <wp:extent cx="4572000" cy="2352675"/>
            <wp:effectExtent l="0" t="0" r="0" b="0"/>
            <wp:docPr id="53698862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e87ec59664544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39F" w:rsidP="5194EB8E" w:rsidRDefault="00E9139F" w14:paraId="18C0A4B8" w14:textId="6A82E98B">
      <w:pPr>
        <w:pStyle w:val="Normal"/>
      </w:pPr>
    </w:p>
    <w:p w:rsidR="00E9139F" w:rsidP="00E9139F" w:rsidRDefault="00E9139F" w14:paraId="643D877A" w14:noSpellErr="1" w14:textId="32554CBA">
      <w:pPr>
        <w:pStyle w:val="Heading2"/>
      </w:pPr>
      <w:r w:rsidR="5194EB8E">
        <w:rPr/>
        <w:t>F</w:t>
      </w:r>
      <w:r w:rsidR="5194EB8E">
        <w:rPr/>
        <w:t>eedback from the consultation</w:t>
      </w:r>
    </w:p>
    <w:p w:rsidR="00E9139F" w:rsidP="00E9139F" w:rsidRDefault="00E9139F" w14:paraId="4C613A0E" w14:noSpellErr="1" w14:textId="6153DCCA">
      <w:r w:rsidR="5194EB8E">
        <w:rPr/>
        <w:t>R</w:t>
      </w:r>
      <w:r w:rsidR="5194EB8E">
        <w:rPr/>
        <w:t xml:space="preserve">espondents to the consultation </w:t>
      </w:r>
      <w:r w:rsidR="5194EB8E">
        <w:rPr/>
        <w:t xml:space="preserve">were asked to consider pros and cons </w:t>
      </w:r>
      <w:r w:rsidR="5194EB8E">
        <w:rPr/>
        <w:t>of</w:t>
      </w:r>
      <w:r w:rsidR="5194EB8E">
        <w:rPr/>
        <w:t xml:space="preserve"> </w:t>
      </w:r>
      <w:r w:rsidR="5194EB8E">
        <w:rPr/>
        <w:t xml:space="preserve">moving to </w:t>
      </w:r>
      <w:r w:rsidR="5194EB8E">
        <w:rPr/>
        <w:t xml:space="preserve">a </w:t>
      </w:r>
      <w:r w:rsidR="5194EB8E">
        <w:rPr/>
        <w:t>centralis</w:t>
      </w:r>
      <w:r w:rsidR="5194EB8E">
        <w:rPr/>
        <w:t>ed approach</w:t>
      </w:r>
      <w:r w:rsidR="5194EB8E">
        <w:rPr/>
        <w:t>.</w:t>
      </w:r>
    </w:p>
    <w:p w:rsidR="00E9139F" w:rsidP="00E9139F" w:rsidRDefault="00E9139F" w14:paraId="7D5EDA67" w14:textId="0199CA09" w14:noSpellErr="1">
      <w:pPr>
        <w:pStyle w:val="Heading2"/>
      </w:pPr>
      <w:r w:rsidR="5194EB8E">
        <w:rPr/>
        <w:t>Arguments in favour of centralisation</w:t>
      </w:r>
    </w:p>
    <w:p w:rsidR="00E9139F" w:rsidP="5194EB8E" w:rsidRDefault="00E9139F" w14:paraId="2C6DA75C" w14:textId="77777777" w14:noSpellErr="1">
      <w:pPr>
        <w:numPr>
          <w:ilvl w:val="0"/>
          <w:numId w:val="7"/>
        </w:numPr>
        <w:contextualSpacing/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</w:pPr>
      <w:r w:rsidRPr="5194EB8E" w:rsidR="5194EB8E"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  <w:t xml:space="preserve">Standardisation / levels the playing field– agreed approaches to when students are contacted, how and how often. </w:t>
      </w:r>
    </w:p>
    <w:p w:rsidRPr="00E00700" w:rsidR="00E9139F" w:rsidP="5194EB8E" w:rsidRDefault="00E9139F" w14:paraId="3AED9808" w14:textId="3F700738" w14:noSpellErr="1">
      <w:pPr>
        <w:numPr>
          <w:ilvl w:val="0"/>
          <w:numId w:val="7"/>
        </w:numPr>
        <w:contextualSpacing/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</w:pPr>
      <w:r w:rsidRPr="5194EB8E" w:rsidR="5194EB8E"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  <w:t>Centralisation of</w:t>
      </w:r>
      <w:r w:rsidRPr="5194EB8E" w:rsidR="5194EB8E"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  <w:t xml:space="preserve"> SOC coding</w:t>
      </w:r>
      <w:r w:rsidRPr="5194EB8E" w:rsidR="5194EB8E"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  <w:t xml:space="preserve"> avoids</w:t>
      </w:r>
      <w:r w:rsidRPr="5194EB8E" w:rsidR="5194EB8E"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  <w:t xml:space="preserve"> issue with these in terms of robustness of the structure of the coding frame and also different individuals trying to attach jobs to SOC codes.</w:t>
      </w:r>
      <w:bookmarkStart w:name="_GoBack" w:id="0"/>
      <w:bookmarkEnd w:id="0"/>
    </w:p>
    <w:p w:rsidRPr="00E00700" w:rsidR="00E9139F" w:rsidP="5194EB8E" w:rsidRDefault="00E9139F" w14:paraId="47EE3310" w14:textId="77777777" w14:noSpellErr="1">
      <w:pPr>
        <w:numPr>
          <w:ilvl w:val="0"/>
          <w:numId w:val="7"/>
        </w:numPr>
        <w:contextualSpacing/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</w:pPr>
      <w:r w:rsidRPr="5194EB8E" w:rsidR="5194EB8E"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  <w:t xml:space="preserve">Data can be linked publicly </w:t>
      </w:r>
    </w:p>
    <w:p w:rsidRPr="00E00700" w:rsidR="00E9139F" w:rsidP="5194EB8E" w:rsidRDefault="00E9139F" w14:paraId="1829C395" w14:textId="1D6509AF" w14:noSpellErr="1">
      <w:pPr>
        <w:numPr>
          <w:ilvl w:val="0"/>
          <w:numId w:val="7"/>
        </w:numPr>
        <w:contextualSpacing/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</w:pPr>
      <w:r w:rsidRPr="5194EB8E" w:rsidR="5194EB8E"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  <w:t>Provides c</w:t>
      </w:r>
      <w:r w:rsidRPr="5194EB8E" w:rsidR="5194EB8E"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  <w:t xml:space="preserve">onfidence in own results </w:t>
      </w:r>
    </w:p>
    <w:p w:rsidR="0046204A" w:rsidP="5194EB8E" w:rsidRDefault="00E9139F" w14:paraId="45E361F0" w14:textId="77777777" w14:noSpellErr="1">
      <w:pPr>
        <w:numPr>
          <w:ilvl w:val="0"/>
          <w:numId w:val="7"/>
        </w:numPr>
        <w:contextualSpacing/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</w:pPr>
      <w:r w:rsidRPr="5194EB8E" w:rsidR="5194EB8E"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  <w:t>TEF makes the need for outsourcing stronger than ever.</w:t>
      </w:r>
    </w:p>
    <w:p w:rsidR="0046204A" w:rsidP="5194EB8E" w:rsidRDefault="00B566B8" w14:paraId="7724D5CC" w14:textId="77777777">
      <w:pPr>
        <w:numPr>
          <w:ilvl w:val="0"/>
          <w:numId w:val="7"/>
        </w:numPr>
        <w:contextualSpacing/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</w:pPr>
      <w:r w:rsidRPr="5194EB8E" w:rsidR="5194EB8E">
        <w:rPr>
          <w:lang w:val="en-US"/>
        </w:rPr>
        <w:t xml:space="preserve">Consistency in </w:t>
      </w:r>
      <w:proofErr w:type="spellStart"/>
      <w:r w:rsidRPr="5194EB8E" w:rsidR="5194EB8E">
        <w:rPr>
          <w:lang w:val="en-US"/>
        </w:rPr>
        <w:t>centralis</w:t>
      </w:r>
      <w:r w:rsidRPr="5194EB8E" w:rsidR="5194EB8E">
        <w:rPr>
          <w:lang w:val="en-US"/>
        </w:rPr>
        <w:t>ation</w:t>
      </w:r>
      <w:proofErr w:type="spellEnd"/>
      <w:r w:rsidRPr="5194EB8E" w:rsidR="5194EB8E">
        <w:rPr>
          <w:lang w:val="en-US"/>
        </w:rPr>
        <w:t xml:space="preserve"> whereas </w:t>
      </w:r>
      <w:r w:rsidRPr="5194EB8E" w:rsidR="5194EB8E">
        <w:rPr>
          <w:lang w:val="en-US"/>
        </w:rPr>
        <w:t xml:space="preserve">distributed </w:t>
      </w:r>
      <w:r w:rsidRPr="5194EB8E" w:rsidR="5194EB8E">
        <w:rPr>
          <w:lang w:val="en-US"/>
        </w:rPr>
        <w:t>could be inconsistent (bias)</w:t>
      </w:r>
    </w:p>
    <w:p w:rsidR="0046204A" w:rsidP="5194EB8E" w:rsidRDefault="00E9139F" w14:paraId="6089B8C0" w14:textId="77777777" w14:noSpellErr="1">
      <w:pPr>
        <w:numPr>
          <w:ilvl w:val="0"/>
          <w:numId w:val="7"/>
        </w:numPr>
        <w:contextualSpacing/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</w:pPr>
      <w:r w:rsidRPr="5194EB8E" w:rsidR="5194EB8E">
        <w:rPr>
          <w:rFonts w:ascii="Times New Roman" w:hAnsi="Times New Roman" w:eastAsia="Times New Roman" w:cs="Times New Roman"/>
        </w:rPr>
        <w:t>Governance of outsourcing re</w:t>
      </w:r>
      <w:r w:rsidRPr="5194EB8E" w:rsidR="5194EB8E">
        <w:rPr>
          <w:rFonts w:ascii="Times New Roman" w:hAnsi="Times New Roman" w:eastAsia="Times New Roman" w:cs="Times New Roman"/>
        </w:rPr>
        <w:t>turn incomparable to in house</w:t>
      </w:r>
    </w:p>
    <w:p w:rsidRPr="0046204A" w:rsidR="00E9139F" w:rsidP="5194EB8E" w:rsidRDefault="00E9139F" w14:paraId="7559D7E3" w14:textId="19800D44" w14:noSpellErr="1">
      <w:pPr>
        <w:numPr>
          <w:ilvl w:val="0"/>
          <w:numId w:val="7"/>
        </w:numPr>
        <w:contextualSpacing/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</w:pPr>
      <w:r w:rsidRPr="5194EB8E" w:rsidR="5194EB8E">
        <w:rPr>
          <w:rFonts w:ascii="Times New Roman" w:hAnsi="Times New Roman" w:eastAsia="Times New Roman" w:cs="Times New Roman"/>
        </w:rPr>
        <w:t>Allows data to retain n</w:t>
      </w:r>
      <w:r w:rsidRPr="5194EB8E" w:rsidR="5194EB8E">
        <w:rPr>
          <w:rFonts w:ascii="Times New Roman" w:hAnsi="Times New Roman" w:eastAsia="Times New Roman" w:cs="Times New Roman"/>
        </w:rPr>
        <w:t xml:space="preserve">ational statistics </w:t>
      </w:r>
      <w:r w:rsidRPr="5194EB8E" w:rsidR="5194EB8E">
        <w:rPr>
          <w:rFonts w:ascii="Times New Roman" w:hAnsi="Times New Roman" w:eastAsia="Times New Roman" w:cs="Times New Roman"/>
        </w:rPr>
        <w:t>classification</w:t>
      </w:r>
    </w:p>
    <w:p w:rsidR="00E9139F" w:rsidP="00E9139F" w:rsidRDefault="00E9139F" w14:paraId="4C08F563" w14:textId="4E5336EA" w14:noSpellErr="1">
      <w:pPr>
        <w:pStyle w:val="Heading2"/>
      </w:pPr>
      <w:r w:rsidR="5194EB8E">
        <w:rPr/>
        <w:t>Arguments against centralisation</w:t>
      </w:r>
    </w:p>
    <w:p w:rsidRPr="00B566B8" w:rsidR="00B566B8" w:rsidP="5194EB8E" w:rsidRDefault="00B566B8" w14:paraId="5A6922E0" w14:textId="09B1DE4B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libri" w:hAnsi="Calibri" w:eastAsia="Calibri" w:cs="Calibri"/>
          <w:lang w:val="en-US"/>
        </w:rPr>
      </w:pPr>
      <w:r w:rsidRPr="5194EB8E" w:rsidR="5194EB8E">
        <w:rPr>
          <w:lang w:val="en-US"/>
        </w:rPr>
        <w:t xml:space="preserve">What impact will </w:t>
      </w:r>
      <w:proofErr w:type="spellStart"/>
      <w:r w:rsidRPr="5194EB8E" w:rsidR="5194EB8E">
        <w:rPr>
          <w:lang w:val="en-US"/>
        </w:rPr>
        <w:t>centralisation</w:t>
      </w:r>
      <w:proofErr w:type="spellEnd"/>
      <w:r w:rsidRPr="5194EB8E" w:rsidR="5194EB8E">
        <w:rPr>
          <w:lang w:val="en-US"/>
        </w:rPr>
        <w:t xml:space="preserve"> have on response rates</w:t>
      </w:r>
      <w:r w:rsidRPr="5194EB8E" w:rsidR="5194EB8E">
        <w:rPr>
          <w:lang w:val="en-US"/>
        </w:rPr>
        <w:t>?</w:t>
      </w:r>
    </w:p>
    <w:p w:rsidR="00E9139F" w:rsidP="00E9139F" w:rsidRDefault="00E9139F" w14:paraId="0EBAB6E0" w14:textId="3BC1EEAB" w14:noSpellErr="1">
      <w:pPr>
        <w:pStyle w:val="Body-text"/>
        <w:numPr>
          <w:ilvl w:val="0"/>
          <w:numId w:val="8"/>
        </w:numPr>
        <w:tabs>
          <w:tab w:val="right" w:pos="9456"/>
        </w:tabs>
        <w:rPr/>
      </w:pPr>
      <w:r w:rsidR="5194EB8E">
        <w:rPr/>
        <w:t>HE</w:t>
      </w:r>
      <w:r w:rsidR="5194EB8E">
        <w:rPr/>
        <w:t xml:space="preserve"> providers</w:t>
      </w:r>
      <w:r w:rsidR="5194EB8E">
        <w:rPr/>
        <w:t xml:space="preserve"> </w:t>
      </w:r>
      <w:r w:rsidR="5194EB8E">
        <w:rPr/>
        <w:t>need</w:t>
      </w:r>
      <w:r w:rsidR="5194EB8E">
        <w:rPr/>
        <w:t xml:space="preserve"> a</w:t>
      </w:r>
      <w:r w:rsidR="5194EB8E">
        <w:rPr/>
        <w:t xml:space="preserve">ccess to </w:t>
      </w:r>
      <w:r w:rsidR="5194EB8E">
        <w:rPr/>
        <w:t>granular</w:t>
      </w:r>
      <w:r w:rsidR="5194EB8E">
        <w:rPr/>
        <w:t xml:space="preserve"> DLHE</w:t>
      </w:r>
      <w:r w:rsidR="5194EB8E">
        <w:rPr/>
        <w:t xml:space="preserve"> data </w:t>
      </w:r>
    </w:p>
    <w:p w:rsidR="00E9139F" w:rsidP="00E9139F" w:rsidRDefault="00E9139F" w14:paraId="2C067609" w14:textId="5227FA1F" w14:noSpellErr="1">
      <w:pPr>
        <w:pStyle w:val="Body-text"/>
        <w:numPr>
          <w:ilvl w:val="0"/>
          <w:numId w:val="8"/>
        </w:numPr>
        <w:tabs>
          <w:tab w:val="right" w:pos="9456"/>
        </w:tabs>
        <w:rPr/>
      </w:pPr>
      <w:r w:rsidR="5194EB8E">
        <w:rPr/>
        <w:t xml:space="preserve">DLHE process fits within others </w:t>
      </w:r>
      <w:r w:rsidR="5194EB8E">
        <w:rPr/>
        <w:t>processes in providers</w:t>
      </w:r>
    </w:p>
    <w:p w:rsidR="004339F9" w:rsidP="00E9139F" w:rsidRDefault="00E9139F" w14:paraId="4FEFBD65" w14:textId="77777777" w14:noSpellErr="1">
      <w:pPr>
        <w:pStyle w:val="Body-text"/>
        <w:numPr>
          <w:ilvl w:val="0"/>
          <w:numId w:val="8"/>
        </w:numPr>
        <w:tabs>
          <w:tab w:val="right" w:pos="9456"/>
        </w:tabs>
        <w:rPr/>
      </w:pPr>
      <w:r w:rsidR="5194EB8E">
        <w:rPr/>
        <w:t>What does centralisation do to after-care and HEPs maintaining relationships with graduates. Would HEPS feel removed from the process and not want to engage?</w:t>
      </w:r>
    </w:p>
    <w:p w:rsidR="00B566B8" w:rsidP="00B566B8" w:rsidRDefault="00E9139F" w14:paraId="63D26C20" w14:textId="77777777" w14:noSpellErr="1">
      <w:pPr>
        <w:pStyle w:val="ListParagraph"/>
        <w:numPr>
          <w:ilvl w:val="0"/>
          <w:numId w:val="6"/>
        </w:numPr>
        <w:spacing w:after="0" w:line="240" w:lineRule="auto"/>
        <w:rPr/>
      </w:pPr>
      <w:r w:rsidR="5194EB8E">
        <w:rPr/>
        <w:t>Needing to do DLHE is a prompt to keep up to date with leavers.</w:t>
      </w:r>
      <w:r w:rsidR="5194EB8E">
        <w:rPr/>
        <w:t xml:space="preserve"> </w:t>
      </w:r>
    </w:p>
    <w:p w:rsidRPr="00EA57A3" w:rsidR="00B566B8" w:rsidP="00B566B8" w:rsidRDefault="00B566B8" w14:paraId="08135A9E" w14:textId="5667B688" w14:noSpellErr="1">
      <w:pPr>
        <w:pStyle w:val="ListParagraph"/>
        <w:numPr>
          <w:ilvl w:val="0"/>
          <w:numId w:val="6"/>
        </w:numPr>
        <w:spacing w:after="0" w:line="240" w:lineRule="auto"/>
        <w:rPr/>
      </w:pPr>
      <w:r w:rsidR="5194EB8E">
        <w:rPr/>
        <w:t>Centralisation might favour certain types of providers</w:t>
      </w:r>
    </w:p>
    <w:p w:rsidRPr="00EA57A3" w:rsidR="00B566B8" w:rsidP="00B566B8" w:rsidRDefault="00B566B8" w14:paraId="460409D1" w14:textId="77777777" w14:noSpellErr="1">
      <w:pPr>
        <w:pStyle w:val="ListParagraph"/>
        <w:numPr>
          <w:ilvl w:val="0"/>
          <w:numId w:val="6"/>
        </w:numPr>
        <w:spacing w:after="0" w:line="240" w:lineRule="auto"/>
        <w:rPr/>
      </w:pPr>
      <w:r w:rsidR="5194EB8E">
        <w:rPr/>
        <w:t>Graduates may not trust a third-party data collector with sensitive personal data</w:t>
      </w:r>
    </w:p>
    <w:p w:rsidRPr="00EA57A3" w:rsidR="00B566B8" w:rsidP="00B566B8" w:rsidRDefault="00B566B8" w14:paraId="5ADD0C2F" w14:textId="77777777">
      <w:pPr>
        <w:pStyle w:val="ListParagraph"/>
        <w:numPr>
          <w:ilvl w:val="0"/>
          <w:numId w:val="6"/>
        </w:numPr>
        <w:spacing w:after="0" w:line="240" w:lineRule="auto"/>
        <w:rPr/>
      </w:pPr>
      <w:r w:rsidR="5194EB8E">
        <w:rPr/>
        <w:t>Providers currently use the DLHE collection period to pass on additional information to their</w:t>
      </w:r>
      <w:r w:rsidR="5194EB8E">
        <w:rPr/>
        <w:t xml:space="preserve"> </w:t>
      </w:r>
      <w:r w:rsidR="5194EB8E">
        <w:rPr/>
        <w:t>graduates, e.g. careers or alumni contact. This is unlikely to be possible through a</w:t>
      </w:r>
      <w:r w:rsidR="5194EB8E">
        <w:rPr/>
        <w:t xml:space="preserve"> </w:t>
      </w:r>
      <w:r w:rsidR="5194EB8E">
        <w:rPr/>
        <w:t xml:space="preserve">centralised survey and might lead to them having to </w:t>
      </w:r>
      <w:proofErr w:type="spellStart"/>
      <w:r w:rsidR="5194EB8E">
        <w:rPr/>
        <w:t>recontact</w:t>
      </w:r>
      <w:proofErr w:type="spellEnd"/>
      <w:r w:rsidR="5194EB8E">
        <w:rPr/>
        <w:t xml:space="preserve"> graduates.</w:t>
      </w:r>
    </w:p>
    <w:p w:rsidRPr="00EA57A3" w:rsidR="00B566B8" w:rsidP="00B566B8" w:rsidRDefault="00B566B8" w14:paraId="563DA332" w14:textId="77777777" w14:noSpellErr="1">
      <w:pPr>
        <w:pStyle w:val="ListParagraph"/>
        <w:numPr>
          <w:ilvl w:val="0"/>
          <w:numId w:val="6"/>
        </w:numPr>
        <w:spacing w:after="0" w:line="240" w:lineRule="auto"/>
        <w:rPr/>
      </w:pPr>
      <w:r w:rsidR="5194EB8E">
        <w:rPr/>
        <w:t>Information about the graduate which is gained from others across the HE provider, such</w:t>
      </w:r>
      <w:r w:rsidR="5194EB8E">
        <w:rPr/>
        <w:t xml:space="preserve"> </w:t>
      </w:r>
      <w:r w:rsidR="5194EB8E">
        <w:rPr/>
        <w:t>as academics/tutors, will be lost</w:t>
      </w:r>
    </w:p>
    <w:p w:rsidRPr="00EA57A3" w:rsidR="00B566B8" w:rsidP="00B566B8" w:rsidRDefault="00B566B8" w14:paraId="46020DB9" w14:textId="77777777" w14:noSpellErr="1">
      <w:pPr>
        <w:pStyle w:val="ListParagraph"/>
        <w:numPr>
          <w:ilvl w:val="0"/>
          <w:numId w:val="6"/>
        </w:numPr>
        <w:spacing w:after="0" w:line="240" w:lineRule="auto"/>
        <w:rPr/>
      </w:pPr>
      <w:r w:rsidR="5194EB8E">
        <w:rPr/>
        <w:t>Data quality may be impacted by a third party supplier collection</w:t>
      </w:r>
    </w:p>
    <w:p w:rsidR="00E9139F" w:rsidP="00B566B8" w:rsidRDefault="00E9139F" w14:paraId="0EEAF5C3" w14:textId="1CB6CE6B">
      <w:pPr>
        <w:pStyle w:val="Body-text"/>
        <w:tabs>
          <w:tab w:val="right" w:pos="9456"/>
        </w:tabs>
        <w:ind w:left="360"/>
      </w:pPr>
    </w:p>
    <w:p w:rsidR="004339F9" w:rsidP="00E9139F" w:rsidRDefault="004339F9" w14:paraId="4EF27187" w14:textId="77777777">
      <w:pPr>
        <w:pStyle w:val="Body-text"/>
        <w:tabs>
          <w:tab w:val="right" w:pos="9456"/>
        </w:tabs>
      </w:pPr>
    </w:p>
    <w:p w:rsidR="004339F9" w:rsidP="004339F9" w:rsidRDefault="004339F9" w14:paraId="5A45920E" w14:textId="01681D92" w14:noSpellErr="1">
      <w:pPr>
        <w:pStyle w:val="Heading2"/>
        <w:rPr>
          <w:rFonts w:eastAsia="Times New Roman"/>
        </w:rPr>
      </w:pPr>
      <w:r w:rsidRPr="5194EB8E" w:rsidR="5194EB8E">
        <w:rPr>
          <w:rFonts w:ascii="Times New Roman" w:hAnsi="Times New Roman" w:eastAsia="Times New Roman" w:cs="Times New Roman"/>
        </w:rPr>
        <w:t>Questions or suggestions raised on centralisation</w:t>
      </w:r>
    </w:p>
    <w:p w:rsidR="0046204A" w:rsidP="0046204A" w:rsidRDefault="004339F9" w14:paraId="0C0AEE5A" w14:textId="77777777" w14:noSpellErr="1">
      <w:r w:rsidR="5194EB8E">
        <w:rPr/>
        <w:t>Consultation respondents and the strategic group raised areas for further consideration:</w:t>
      </w:r>
    </w:p>
    <w:p w:rsidRPr="0046204A" w:rsidR="00E9139F" w:rsidP="0046204A" w:rsidRDefault="00E9139F" w14:paraId="7EB37F8C" w14:textId="02838ED3" w14:noSpellErr="1">
      <w:pPr>
        <w:pStyle w:val="ListParagraph"/>
        <w:numPr>
          <w:ilvl w:val="0"/>
          <w:numId w:val="11"/>
        </w:numPr>
        <w:rPr/>
      </w:pPr>
      <w:r w:rsidRPr="5194EB8E" w:rsidR="5194EB8E"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  <w:t>Would leavers answer more honestly to a 3</w:t>
      </w:r>
      <w:r w:rsidRPr="5194EB8E" w:rsidR="5194EB8E"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  <w:vertAlign w:val="superscript"/>
        </w:rPr>
        <w:t>rd</w:t>
      </w:r>
      <w:r w:rsidRPr="5194EB8E" w:rsidR="5194EB8E"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  <w:t xml:space="preserve"> party? </w:t>
      </w:r>
    </w:p>
    <w:p w:rsidR="00E9139F" w:rsidP="5194EB8E" w:rsidRDefault="00E9139F" w14:paraId="43217490" w14:textId="2D1C643D" w14:noSpellErr="1">
      <w:pPr>
        <w:pStyle w:val="ListParagraph"/>
        <w:numPr>
          <w:ilvl w:val="0"/>
          <w:numId w:val="9"/>
        </w:numPr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</w:pPr>
      <w:r w:rsidRPr="5194EB8E" w:rsidR="5194EB8E"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  <w:t xml:space="preserve">Could there be fusion options? New DLHE could work well under a similar framework to PRES/PTES, so could be run by HESA and administered through a survey provider. There could be a core contract which HESA could go to tender for, then each HEP would have a separate contract with this provider so they could ask further questions of interest. There could be an agreed price for the basic or ‘core’ survey and then have plug-ins. </w:t>
      </w:r>
    </w:p>
    <w:p w:rsidRPr="004339F9" w:rsidR="004339F9" w:rsidP="5194EB8E" w:rsidRDefault="004339F9" w14:paraId="2544AFE9" w14:textId="064B20DD" w14:noSpellErr="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eastAsia="Calibri" w:cs="Calibri"/>
          <w:lang w:val="en-US"/>
        </w:rPr>
      </w:pPr>
      <w:r w:rsidRPr="5194EB8E" w:rsidR="5194EB8E">
        <w:rPr>
          <w:lang w:val="en-US"/>
        </w:rPr>
        <w:t xml:space="preserve">How will the </w:t>
      </w:r>
      <w:r w:rsidRPr="5194EB8E" w:rsidR="5194EB8E">
        <w:rPr>
          <w:lang w:val="en-US"/>
        </w:rPr>
        <w:t>provider</w:t>
      </w:r>
      <w:r w:rsidRPr="5194EB8E" w:rsidR="5194EB8E">
        <w:rPr>
          <w:lang w:val="en-US"/>
        </w:rPr>
        <w:t xml:space="preserve"> get access to the data?</w:t>
      </w:r>
    </w:p>
    <w:p w:rsidR="00E9139F" w:rsidP="5194EB8E" w:rsidRDefault="004339F9" w14:paraId="758181E4" w14:textId="23D6838A" w14:noSpellErr="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eastAsia="Calibri" w:cs="Calibri"/>
          <w:lang w:val="en-US"/>
        </w:rPr>
      </w:pPr>
      <w:r w:rsidRPr="5194EB8E" w:rsidR="5194EB8E">
        <w:rPr>
          <w:lang w:val="en-US"/>
        </w:rPr>
        <w:t>What i</w:t>
      </w:r>
      <w:r w:rsidRPr="5194EB8E" w:rsidR="5194EB8E">
        <w:rPr>
          <w:lang w:val="en-US"/>
        </w:rPr>
        <w:t>nfluence will</w:t>
      </w:r>
      <w:r w:rsidRPr="5194EB8E" w:rsidR="5194EB8E">
        <w:rPr>
          <w:lang w:val="en-US"/>
        </w:rPr>
        <w:t xml:space="preserve"> providers have on the data</w:t>
      </w:r>
      <w:r w:rsidRPr="5194EB8E" w:rsidR="5194EB8E">
        <w:rPr>
          <w:lang w:val="en-US"/>
        </w:rPr>
        <w:t>?</w:t>
      </w:r>
    </w:p>
    <w:p w:rsidR="00E9139F" w:rsidP="00E9139F" w:rsidRDefault="004339F9" w14:paraId="0460EFE8" w14:textId="7461706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lang w:val="en-US"/>
        </w:rPr>
      </w:pPr>
      <w:r w:rsidRPr="5194EB8E" w:rsidR="5194EB8E">
        <w:rPr>
          <w:lang w:val="en-US"/>
        </w:rPr>
        <w:t>Would this be full or pa</w:t>
      </w:r>
      <w:r w:rsidRPr="5194EB8E" w:rsidR="5194EB8E">
        <w:rPr>
          <w:lang w:val="en-US"/>
        </w:rPr>
        <w:t xml:space="preserve">rtial </w:t>
      </w:r>
      <w:proofErr w:type="spellStart"/>
      <w:r w:rsidRPr="5194EB8E" w:rsidR="5194EB8E">
        <w:rPr>
          <w:lang w:val="en-US"/>
        </w:rPr>
        <w:t>centrali</w:t>
      </w:r>
      <w:r w:rsidRPr="5194EB8E" w:rsidR="5194EB8E">
        <w:rPr>
          <w:lang w:val="en-US"/>
        </w:rPr>
        <w:t>s</w:t>
      </w:r>
      <w:r w:rsidRPr="5194EB8E" w:rsidR="5194EB8E">
        <w:rPr>
          <w:lang w:val="en-US"/>
        </w:rPr>
        <w:t>ation</w:t>
      </w:r>
      <w:proofErr w:type="spellEnd"/>
      <w:r w:rsidRPr="5194EB8E" w:rsidR="5194EB8E">
        <w:rPr>
          <w:lang w:val="en-US"/>
        </w:rPr>
        <w:t>?</w:t>
      </w:r>
    </w:p>
    <w:p w:rsidR="00E9139F" w:rsidP="5194EB8E" w:rsidRDefault="00E9139F" w14:paraId="15E0564D" w14:textId="3F2118B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eastAsia="Calibri" w:cs="Calibri"/>
          <w:lang w:val="en-US"/>
        </w:rPr>
      </w:pPr>
      <w:r w:rsidRPr="5194EB8E" w:rsidR="5194EB8E">
        <w:rPr>
          <w:lang w:val="en-US"/>
        </w:rPr>
        <w:t>Use</w:t>
      </w:r>
      <w:r w:rsidRPr="5194EB8E" w:rsidR="5194EB8E">
        <w:rPr>
          <w:lang w:val="en-US"/>
        </w:rPr>
        <w:t xml:space="preserve"> of </w:t>
      </w:r>
      <w:proofErr w:type="spellStart"/>
      <w:r w:rsidRPr="5194EB8E" w:rsidR="5194EB8E">
        <w:rPr>
          <w:lang w:val="en-US"/>
        </w:rPr>
        <w:t>WebHub</w:t>
      </w:r>
      <w:proofErr w:type="spellEnd"/>
      <w:r w:rsidRPr="5194EB8E" w:rsidR="5194EB8E">
        <w:rPr>
          <w:lang w:val="en-US"/>
        </w:rPr>
        <w:t xml:space="preserve"> </w:t>
      </w:r>
      <w:r w:rsidRPr="5194EB8E" w:rsidR="5194EB8E">
        <w:rPr>
          <w:lang w:val="en-US"/>
        </w:rPr>
        <w:t>to monitor and control responses</w:t>
      </w:r>
    </w:p>
    <w:p w:rsidR="00E9139F" w:rsidP="00E9139F" w:rsidRDefault="004339F9" w14:paraId="5A5B723B" w14:textId="24315B1B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lang w:val="en-US"/>
        </w:rPr>
      </w:pPr>
      <w:r w:rsidRPr="5194EB8E" w:rsidR="5194EB8E">
        <w:rPr>
          <w:lang w:val="en-US"/>
        </w:rPr>
        <w:t>What would the c</w:t>
      </w:r>
      <w:r w:rsidRPr="5194EB8E" w:rsidR="5194EB8E">
        <w:rPr>
          <w:lang w:val="en-US"/>
        </w:rPr>
        <w:t>o</w:t>
      </w:r>
      <w:r w:rsidRPr="5194EB8E" w:rsidR="5194EB8E">
        <w:rPr>
          <w:lang w:val="en-US"/>
        </w:rPr>
        <w:t xml:space="preserve">st entailed be for providers if partial </w:t>
      </w:r>
      <w:proofErr w:type="spellStart"/>
      <w:r w:rsidRPr="5194EB8E" w:rsidR="5194EB8E">
        <w:rPr>
          <w:lang w:val="en-US"/>
        </w:rPr>
        <w:t>centralis</w:t>
      </w:r>
      <w:r w:rsidRPr="5194EB8E" w:rsidR="5194EB8E">
        <w:rPr>
          <w:lang w:val="en-US"/>
        </w:rPr>
        <w:t>ation</w:t>
      </w:r>
      <w:proofErr w:type="spellEnd"/>
      <w:r w:rsidRPr="5194EB8E" w:rsidR="5194EB8E">
        <w:rPr>
          <w:lang w:val="en-US"/>
        </w:rPr>
        <w:t>? Would project teams be designated for this?</w:t>
      </w:r>
    </w:p>
    <w:p w:rsidR="00E9139F" w:rsidP="00E9139F" w:rsidRDefault="00E9139F" w14:paraId="2086F3E9" w14:textId="63B1F3B5" w14:noSpellErr="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lang w:val="en-US"/>
        </w:rPr>
      </w:pPr>
      <w:r w:rsidRPr="5194EB8E" w:rsidR="5194EB8E">
        <w:rPr>
          <w:lang w:val="en-US"/>
        </w:rPr>
        <w:t>Highly skilled telephone operative for surveying students</w:t>
      </w:r>
      <w:r w:rsidRPr="5194EB8E" w:rsidR="5194EB8E">
        <w:rPr>
          <w:lang w:val="en-US"/>
        </w:rPr>
        <w:t xml:space="preserve"> would be</w:t>
      </w:r>
      <w:r w:rsidRPr="5194EB8E" w:rsidR="5194EB8E">
        <w:rPr>
          <w:lang w:val="en-US"/>
        </w:rPr>
        <w:t xml:space="preserve"> beneficial</w:t>
      </w:r>
      <w:r w:rsidRPr="5194EB8E" w:rsidR="5194EB8E">
        <w:rPr>
          <w:lang w:val="en-US"/>
        </w:rPr>
        <w:t xml:space="preserve">, as </w:t>
      </w:r>
      <w:r w:rsidRPr="5194EB8E" w:rsidR="5194EB8E">
        <w:rPr>
          <w:lang w:val="en-US"/>
        </w:rPr>
        <w:t>mor</w:t>
      </w:r>
      <w:r w:rsidRPr="5194EB8E" w:rsidR="5194EB8E">
        <w:rPr>
          <w:lang w:val="en-US"/>
        </w:rPr>
        <w:t>e detailed information is gained this way</w:t>
      </w:r>
    </w:p>
    <w:p w:rsidRPr="00544946" w:rsidR="00E9139F" w:rsidP="5194EB8E" w:rsidRDefault="00E9139F" w14:paraId="0676C921" w14:textId="7BEB8ECB" w14:noSpellErr="1">
      <w:pPr>
        <w:pStyle w:val="ListParagraph"/>
        <w:numPr>
          <w:ilvl w:val="0"/>
          <w:numId w:val="9"/>
        </w:numPr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</w:pPr>
      <w:r w:rsidRPr="5194EB8E" w:rsidR="5194EB8E">
        <w:rPr>
          <w:rFonts w:ascii="Times New Roman" w:hAnsi="Times New Roman" w:eastAsia="Times New Roman" w:cs="Times New Roman"/>
        </w:rPr>
        <w:t xml:space="preserve">Weekly SOC coding </w:t>
      </w:r>
      <w:r w:rsidRPr="5194EB8E" w:rsidR="5194EB8E">
        <w:rPr>
          <w:rFonts w:ascii="Times New Roman" w:hAnsi="Times New Roman" w:eastAsia="Times New Roman" w:cs="Times New Roman"/>
        </w:rPr>
        <w:t xml:space="preserve">could be </w:t>
      </w:r>
      <w:r w:rsidRPr="5194EB8E" w:rsidR="5194EB8E">
        <w:rPr>
          <w:rFonts w:ascii="Times New Roman" w:hAnsi="Times New Roman" w:eastAsia="Times New Roman" w:cs="Times New Roman"/>
        </w:rPr>
        <w:t>returne</w:t>
      </w:r>
      <w:r w:rsidRPr="5194EB8E" w:rsidR="5194EB8E">
        <w:rPr>
          <w:rFonts w:ascii="Times New Roman" w:hAnsi="Times New Roman" w:eastAsia="Times New Roman" w:cs="Times New Roman"/>
        </w:rPr>
        <w:t xml:space="preserve">d </w:t>
      </w:r>
      <w:r w:rsidRPr="5194EB8E" w:rsidR="5194EB8E">
        <w:rPr>
          <w:rFonts w:ascii="Times New Roman" w:hAnsi="Times New Roman" w:eastAsia="Times New Roman" w:cs="Times New Roman"/>
        </w:rPr>
        <w:t>to HE</w:t>
      </w:r>
      <w:r w:rsidRPr="5194EB8E" w:rsidR="5194EB8E">
        <w:rPr>
          <w:rFonts w:ascii="Times New Roman" w:hAnsi="Times New Roman" w:eastAsia="Times New Roman" w:cs="Times New Roman"/>
        </w:rPr>
        <w:t xml:space="preserve"> provider</w:t>
      </w:r>
      <w:r w:rsidRPr="5194EB8E" w:rsidR="5194EB8E">
        <w:rPr>
          <w:rFonts w:ascii="Times New Roman" w:hAnsi="Times New Roman" w:eastAsia="Times New Roman" w:cs="Times New Roman"/>
        </w:rPr>
        <w:t xml:space="preserve"> through an outsourced model. N</w:t>
      </w:r>
      <w:r w:rsidRPr="5194EB8E" w:rsidR="5194EB8E">
        <w:rPr>
          <w:rFonts w:ascii="Times New Roman" w:hAnsi="Times New Roman" w:eastAsia="Times New Roman" w:cs="Times New Roman"/>
        </w:rPr>
        <w:t>otes</w:t>
      </w:r>
      <w:r w:rsidRPr="5194EB8E" w:rsidR="5194EB8E">
        <w:rPr>
          <w:rFonts w:ascii="Times New Roman" w:hAnsi="Times New Roman" w:eastAsia="Times New Roman" w:cs="Times New Roman"/>
        </w:rPr>
        <w:t xml:space="preserve"> should be kept</w:t>
      </w:r>
      <w:r w:rsidRPr="5194EB8E" w:rsidR="5194EB8E">
        <w:rPr>
          <w:rFonts w:ascii="Times New Roman" w:hAnsi="Times New Roman" w:eastAsia="Times New Roman" w:cs="Times New Roman"/>
        </w:rPr>
        <w:t xml:space="preserve"> explaining decision making</w:t>
      </w:r>
      <w:r w:rsidRPr="5194EB8E" w:rsidR="5194EB8E">
        <w:rPr>
          <w:rFonts w:ascii="Times New Roman" w:hAnsi="Times New Roman" w:eastAsia="Times New Roman" w:cs="Times New Roman"/>
        </w:rPr>
        <w:t xml:space="preserve"> </w:t>
      </w:r>
      <w:r w:rsidRPr="5194EB8E" w:rsidR="5194EB8E">
        <w:rPr>
          <w:rFonts w:ascii="Times New Roman" w:hAnsi="Times New Roman" w:eastAsia="Times New Roman" w:cs="Times New Roman"/>
        </w:rPr>
        <w:t xml:space="preserve">for audit. Live environment rather than gathering and then submitting for coding. Support from universities or subject experts to assure coding. </w:t>
      </w:r>
    </w:p>
    <w:p w:rsidRPr="00544946" w:rsidR="00E9139F" w:rsidP="5194EB8E" w:rsidRDefault="004339F9" w14:paraId="160EB1CF" w14:textId="4A31327F" w14:noSpellErr="1">
      <w:pPr>
        <w:pStyle w:val="ListParagraph"/>
        <w:numPr>
          <w:ilvl w:val="0"/>
          <w:numId w:val="9"/>
        </w:numPr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</w:pPr>
      <w:r w:rsidRPr="5194EB8E" w:rsidR="5194EB8E">
        <w:rPr>
          <w:rFonts w:ascii="Times New Roman" w:hAnsi="Times New Roman" w:eastAsia="Times New Roman" w:cs="Times New Roman"/>
        </w:rPr>
        <w:t>Process should retain auditing if outsourced</w:t>
      </w:r>
    </w:p>
    <w:p w:rsidRPr="00544946" w:rsidR="00E9139F" w:rsidP="5194EB8E" w:rsidRDefault="004339F9" w14:paraId="4CC81C3A" w14:textId="77AACEBC" w14:noSpellErr="1">
      <w:pPr>
        <w:pStyle w:val="ListParagraph"/>
        <w:numPr>
          <w:ilvl w:val="0"/>
          <w:numId w:val="9"/>
        </w:numPr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</w:pPr>
      <w:r w:rsidRPr="5194EB8E" w:rsidR="5194EB8E">
        <w:rPr>
          <w:rFonts w:ascii="Times New Roman" w:hAnsi="Times New Roman" w:eastAsia="Times New Roman" w:cs="Times New Roman"/>
        </w:rPr>
        <w:t>Some form of p</w:t>
      </w:r>
      <w:r w:rsidRPr="5194EB8E" w:rsidR="5194EB8E">
        <w:rPr>
          <w:rFonts w:ascii="Times New Roman" w:hAnsi="Times New Roman" w:eastAsia="Times New Roman" w:cs="Times New Roman"/>
        </w:rPr>
        <w:t>ersonalised communication from provider to</w:t>
      </w:r>
      <w:r w:rsidRPr="5194EB8E" w:rsidR="5194EB8E">
        <w:rPr>
          <w:rFonts w:ascii="Times New Roman" w:hAnsi="Times New Roman" w:eastAsia="Times New Roman" w:cs="Times New Roman"/>
        </w:rPr>
        <w:t xml:space="preserve"> the</w:t>
      </w:r>
      <w:r w:rsidRPr="5194EB8E" w:rsidR="5194EB8E">
        <w:rPr>
          <w:rFonts w:ascii="Times New Roman" w:hAnsi="Times New Roman" w:eastAsia="Times New Roman" w:cs="Times New Roman"/>
        </w:rPr>
        <w:t xml:space="preserve"> graduates</w:t>
      </w:r>
      <w:r w:rsidRPr="5194EB8E" w:rsidR="5194EB8E">
        <w:rPr>
          <w:rFonts w:ascii="Times New Roman" w:hAnsi="Times New Roman" w:eastAsia="Times New Roman" w:cs="Times New Roman"/>
        </w:rPr>
        <w:t xml:space="preserve"> could be used</w:t>
      </w:r>
      <w:r w:rsidRPr="5194EB8E" w:rsidR="5194EB8E">
        <w:rPr>
          <w:rFonts w:ascii="Times New Roman" w:hAnsi="Times New Roman" w:eastAsia="Times New Roman" w:cs="Times New Roman"/>
        </w:rPr>
        <w:t xml:space="preserve"> to promote</w:t>
      </w:r>
      <w:r w:rsidRPr="5194EB8E" w:rsidR="5194EB8E">
        <w:rPr>
          <w:rFonts w:ascii="Times New Roman" w:hAnsi="Times New Roman" w:eastAsia="Times New Roman" w:cs="Times New Roman"/>
        </w:rPr>
        <w:t xml:space="preserve"> and encourage response rates</w:t>
      </w:r>
    </w:p>
    <w:p w:rsidRPr="00544946" w:rsidR="00E9139F" w:rsidP="5194EB8E" w:rsidRDefault="00E9139F" w14:paraId="33EFC898" w14:textId="77777777" w14:noSpellErr="1">
      <w:pPr>
        <w:pStyle w:val="ListParagraph"/>
        <w:numPr>
          <w:ilvl w:val="0"/>
          <w:numId w:val="9"/>
        </w:numPr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</w:pPr>
      <w:r w:rsidRPr="5194EB8E" w:rsidR="5194EB8E">
        <w:rPr>
          <w:rFonts w:ascii="Times New Roman" w:hAnsi="Times New Roman" w:eastAsia="Times New Roman" w:cs="Times New Roman"/>
        </w:rPr>
        <w:t>Method of collection doesn't matter to data users as long as it robust</w:t>
      </w:r>
    </w:p>
    <w:p w:rsidRPr="00544946" w:rsidR="00E9139F" w:rsidP="5194EB8E" w:rsidRDefault="00E9139F" w14:paraId="10EF3BCC" w14:textId="3E76011C" w14:noSpellErr="1">
      <w:pPr>
        <w:pStyle w:val="ListParagraph"/>
        <w:numPr>
          <w:ilvl w:val="0"/>
          <w:numId w:val="9"/>
        </w:numPr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</w:pPr>
      <w:r w:rsidRPr="5194EB8E" w:rsidR="5194EB8E">
        <w:rPr>
          <w:rFonts w:ascii="Times New Roman" w:hAnsi="Times New Roman" w:eastAsia="Times New Roman" w:cs="Times New Roman"/>
        </w:rPr>
        <w:t>Procurement specialists</w:t>
      </w:r>
      <w:r w:rsidRPr="5194EB8E" w:rsidR="5194EB8E">
        <w:rPr>
          <w:rFonts w:ascii="Times New Roman" w:hAnsi="Times New Roman" w:eastAsia="Times New Roman" w:cs="Times New Roman"/>
        </w:rPr>
        <w:t xml:space="preserve"> need to be</w:t>
      </w:r>
      <w:r w:rsidRPr="5194EB8E" w:rsidR="5194EB8E">
        <w:rPr>
          <w:rFonts w:ascii="Times New Roman" w:hAnsi="Times New Roman" w:eastAsia="Times New Roman" w:cs="Times New Roman"/>
        </w:rPr>
        <w:t xml:space="preserve"> involved in the </w:t>
      </w:r>
      <w:r w:rsidRPr="5194EB8E" w:rsidR="5194EB8E">
        <w:rPr>
          <w:rFonts w:ascii="Times New Roman" w:hAnsi="Times New Roman" w:eastAsia="Times New Roman" w:cs="Times New Roman"/>
        </w:rPr>
        <w:t>process</w:t>
      </w:r>
    </w:p>
    <w:p w:rsidRPr="00544946" w:rsidR="00E9139F" w:rsidP="5194EB8E" w:rsidRDefault="00E9139F" w14:paraId="3F86ED01" w14:textId="42C7E6D1" w14:noSpellErr="1">
      <w:pPr>
        <w:pStyle w:val="ListParagraph"/>
        <w:numPr>
          <w:ilvl w:val="0"/>
          <w:numId w:val="9"/>
        </w:numPr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</w:pPr>
      <w:r w:rsidRPr="5194EB8E" w:rsidR="5194EB8E">
        <w:rPr>
          <w:rFonts w:ascii="Times New Roman" w:hAnsi="Times New Roman" w:eastAsia="Times New Roman" w:cs="Times New Roman"/>
        </w:rPr>
        <w:t>HE providers</w:t>
      </w:r>
      <w:r w:rsidRPr="5194EB8E" w:rsidR="5194EB8E">
        <w:rPr>
          <w:rFonts w:ascii="Times New Roman" w:hAnsi="Times New Roman" w:eastAsia="Times New Roman" w:cs="Times New Roman"/>
        </w:rPr>
        <w:t xml:space="preserve"> need to be reassured</w:t>
      </w:r>
      <w:r w:rsidRPr="5194EB8E" w:rsidR="5194EB8E">
        <w:rPr>
          <w:rFonts w:ascii="Times New Roman" w:hAnsi="Times New Roman" w:eastAsia="Times New Roman" w:cs="Times New Roman"/>
        </w:rPr>
        <w:t xml:space="preserve"> that their concerns are being met</w:t>
      </w:r>
    </w:p>
    <w:p w:rsidRPr="00B566B8" w:rsidR="00B566B8" w:rsidP="5194EB8E" w:rsidRDefault="00E9139F" w14:paraId="5254601B" w14:textId="77777777" w14:noSpellErr="1">
      <w:pPr>
        <w:pStyle w:val="ListParagraph"/>
        <w:numPr>
          <w:ilvl w:val="0"/>
          <w:numId w:val="9"/>
        </w:numPr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</w:pPr>
      <w:r w:rsidRPr="5194EB8E" w:rsidR="5194EB8E">
        <w:rPr>
          <w:rFonts w:ascii="Times New Roman" w:hAnsi="Times New Roman" w:eastAsia="Times New Roman" w:cs="Times New Roman"/>
        </w:rPr>
        <w:t>Centralisation would benefit from starting from year zero.</w:t>
      </w:r>
    </w:p>
    <w:p w:rsidRPr="00B566B8" w:rsidR="00E9139F" w:rsidP="5194EB8E" w:rsidRDefault="00E9139F" w14:paraId="4037E0B0" w14:textId="2D95EB58">
      <w:pPr>
        <w:pStyle w:val="ListParagraph"/>
        <w:numPr>
          <w:ilvl w:val="0"/>
          <w:numId w:val="9"/>
        </w:numPr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</w:pPr>
      <w:r w:rsidRPr="5194EB8E" w:rsidR="5194EB8E"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  <w:t xml:space="preserve">Ability for ‘add-ons’ from main survey provider is important as each provider has their own needs. For example, the OU currently contact graduates or 1-3 years and would be useful to use a new survey provider for this. It was noted that any appended questions can’t compromise the ‘core’ survey in terms of getting </w:t>
      </w:r>
      <w:proofErr w:type="spellStart"/>
      <w:r w:rsidRPr="5194EB8E" w:rsidR="5194EB8E"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  <w:t>NewDLHE</w:t>
      </w:r>
      <w:proofErr w:type="spellEnd"/>
      <w:r w:rsidRPr="5194EB8E" w:rsidR="5194EB8E">
        <w:rPr>
          <w:rFonts w:ascii="Arial,Times New Roman" w:hAnsi="Arial,Times New Roman" w:eastAsia="Arial,Times New Roman" w:cs="Arial,Times New Roman" w:asciiTheme="minorAscii" w:hAnsiTheme="minorAscii" w:eastAsiaTheme="minorAscii" w:cstheme="minorAscii"/>
        </w:rPr>
        <w:t xml:space="preserve"> the Nat Stats accreditation. </w:t>
      </w:r>
    </w:p>
    <w:p w:rsidR="004339F9" w:rsidP="5194EB8E" w:rsidRDefault="004339F9" w14:paraId="5B206C43" w14:textId="77777777" w14:noSpellErr="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eastAsia="Calibri" w:cs="Calibri"/>
          <w:lang w:val="en-US"/>
        </w:rPr>
      </w:pPr>
      <w:r w:rsidRPr="5194EB8E" w:rsidR="5194EB8E">
        <w:rPr>
          <w:lang w:val="en-US"/>
        </w:rPr>
        <w:t>How will this impact overseas students?</w:t>
      </w:r>
    </w:p>
    <w:p w:rsidR="00B566B8" w:rsidP="00B566B8" w:rsidRDefault="00B566B8" w14:paraId="29E4B3E0" w14:textId="77777777" w14:noSpellErr="1">
      <w:pPr>
        <w:pStyle w:val="ListParagraph"/>
        <w:numPr>
          <w:ilvl w:val="0"/>
          <w:numId w:val="9"/>
        </w:numPr>
        <w:spacing w:after="0" w:line="240" w:lineRule="auto"/>
        <w:rPr/>
      </w:pPr>
      <w:r w:rsidR="5194EB8E">
        <w:rPr/>
        <w:t>A third party system would need to be operated under a single provider for consistency.</w:t>
      </w:r>
    </w:p>
    <w:p w:rsidR="00EA57A3" w:rsidP="00B566B8" w:rsidRDefault="00EA57A3" w14:paraId="771F2617" w14:textId="19DA9B73"/>
    <w:p w:rsidR="0046204A" w:rsidP="0046204A" w:rsidRDefault="0046204A" w14:paraId="6B40005F" w14:textId="555F39E0" w14:noSpellErr="1">
      <w:pPr>
        <w:pStyle w:val="Heading2"/>
      </w:pPr>
      <w:r w:rsidR="5194EB8E">
        <w:rPr/>
        <w:t>Question for the working group</w:t>
      </w:r>
    </w:p>
    <w:p w:rsidR="5194EB8E" w:rsidP="5194EB8E" w:rsidRDefault="5194EB8E" w14:noSpellErr="1" w14:paraId="26124122" w14:textId="276C060B">
      <w:pPr>
        <w:pStyle w:val="ListParagraph"/>
        <w:numPr>
          <w:ilvl w:val="0"/>
          <w:numId w:val="12"/>
        </w:numPr>
        <w:rPr/>
      </w:pPr>
      <w:r w:rsidR="5194EB8E">
        <w:rPr/>
        <w:t xml:space="preserve">What </w:t>
      </w:r>
      <w:r w:rsidR="5194EB8E">
        <w:rPr/>
        <w:t>principles should underpin a centralised approach?</w:t>
      </w:r>
    </w:p>
    <w:p w:rsidR="5194EB8E" w:rsidP="5194EB8E" w:rsidRDefault="5194EB8E" w14:noSpellErr="1" w14:paraId="6A860D45" w14:textId="3160AA36">
      <w:pPr>
        <w:pStyle w:val="ListParagraph"/>
        <w:numPr>
          <w:ilvl w:val="0"/>
          <w:numId w:val="12"/>
        </w:numPr>
        <w:rPr/>
      </w:pPr>
      <w:r w:rsidR="5194EB8E">
        <w:rPr/>
        <w:t xml:space="preserve">How can the design of a centralised platform </w:t>
      </w:r>
      <w:r w:rsidR="5194EB8E">
        <w:rPr/>
        <w:t>address HE providers' practical concerns?</w:t>
      </w:r>
    </w:p>
    <w:p w:rsidR="00894B0C" w:rsidP="005A203B" w:rsidRDefault="00894B0C" w14:paraId="50110609" w14:textId="77777777">
      <w:pPr>
        <w:spacing w:after="0" w:line="240" w:lineRule="auto"/>
      </w:pPr>
    </w:p>
    <w:p w:rsidRPr="00894B0C" w:rsidR="00894B0C" w:rsidP="005A203B" w:rsidRDefault="00894B0C" w14:paraId="382165AE" w14:textId="77777777">
      <w:pPr>
        <w:spacing w:after="0" w:line="240" w:lineRule="auto"/>
      </w:pPr>
    </w:p>
    <w:sectPr w:rsidRPr="00894B0C" w:rsidR="00894B0C" w:rsidSect="000D4D40">
      <w:footerReference w:type="default" r:id="rId11"/>
      <w:headerReference w:type="first" r:id="rId12"/>
      <w:footerReference w:type="first" r:id="rId13"/>
      <w:pgSz w:w="11906" w:h="16838" w:orient="portrait" w:code="9"/>
      <w:pgMar w:top="2381" w:right="1225" w:bottom="1701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A3" w:rsidP="002256A3" w:rsidRDefault="00EA57A3" w14:paraId="13D932E0" w14:textId="77777777">
      <w:pPr>
        <w:spacing w:after="0" w:line="240" w:lineRule="auto"/>
      </w:pPr>
      <w:r>
        <w:separator/>
      </w:r>
    </w:p>
  </w:endnote>
  <w:endnote w:type="continuationSeparator" w:id="0">
    <w:p w:rsidR="00EA57A3" w:rsidP="002256A3" w:rsidRDefault="00EA57A3" w14:paraId="1A9704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TableGrid"/>
      <w:tblW w:w="996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F105DB" w:rsidTr="5194EB8E" w14:paraId="6B5E4907" w14:textId="77777777">
      <w:trPr>
        <w:trHeight w:val="340"/>
      </w:trPr>
      <w:tc>
        <w:tcPr>
          <w:tcW w:w="7938" w:type="dxa"/>
          <w:tcMar/>
        </w:tcPr>
        <w:p w:rsidR="00F105DB" w:rsidP="00BA3077" w:rsidRDefault="00BA3077" w14:paraId="7CE61F42" w14:textId="77777777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73E6926" wp14:editId="005496DF">
                <wp:extent cx="1483200" cy="72000"/>
                <wp:effectExtent l="0" t="0" r="317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:rsidRPr="002256A3" w:rsidR="00F105DB" w:rsidP="00265129" w:rsidRDefault="00F105DB" w14:paraId="234A1041" w14:textId="77777777">
          <w:pPr>
            <w:pStyle w:val="Body-text"/>
          </w:pPr>
        </w:p>
      </w:tc>
    </w:tr>
    <w:tr w:rsidR="00F105DB" w:rsidTr="5194EB8E" w14:paraId="4970E097" w14:textId="77777777">
      <w:tc>
        <w:tcPr>
          <w:tcW w:w="7938" w:type="dxa"/>
          <w:tcMar/>
          <w:vAlign w:val="bottom"/>
        </w:tcPr>
        <w:p w:rsidRPr="004F3C0F" w:rsidR="00F105DB" w:rsidP="004F3C0F" w:rsidRDefault="004F3C0F" w14:paraId="1B249352" w14:textId="77777777">
          <w:pPr>
            <w:rPr>
              <w:rFonts w:cs="Arial"/>
              <w:sz w:val="12"/>
              <w:szCs w:val="12"/>
            </w:rPr>
          </w:pPr>
          <w:r w:rsidRPr="5194EB8E" w:rsidR="5194EB8E">
            <w:rPr>
              <w:rFonts w:ascii="Arial" w:hAnsi="Arial" w:eastAsia="Arial" w:cs="Arial"/>
              <w:sz w:val="12"/>
              <w:szCs w:val="12"/>
            </w:rPr>
            <w:t xml:space="preserve">Higher Education Statistics Agency </w:t>
          </w:r>
          <w:r w:rsidRPr="5194EB8E" w:rsidR="5194EB8E">
            <w:rPr>
              <w:rFonts w:ascii="Arial" w:hAnsi="Arial" w:eastAsia="Arial" w:cs="Arial"/>
              <w:sz w:val="12"/>
              <w:szCs w:val="12"/>
            </w:rPr>
            <w:t>Limited</w:t>
          </w:r>
          <w:r w:rsidRPr="5194EB8E" w:rsidR="5194EB8E">
            <w:rPr>
              <w:rFonts w:ascii="Arial" w:hAnsi="Arial" w:eastAsia="Arial" w:cs="Arial"/>
              <w:sz w:val="12"/>
              <w:szCs w:val="12"/>
            </w:rPr>
            <w:t xml:space="preserve"> is a company limited by guarantee, registered in England at 95 Promenade, Chelt</w:t>
          </w:r>
          <w:r w:rsidRPr="5194EB8E" w:rsidR="5194EB8E">
            <w:rPr>
              <w:rFonts w:ascii="Arial" w:hAnsi="Arial" w:eastAsia="Arial" w:cs="Arial"/>
              <w:sz w:val="12"/>
              <w:szCs w:val="12"/>
            </w:rPr>
            <w:t>enham, GL50 1HZ. Registered No. 0</w:t>
          </w:r>
          <w:r w:rsidRPr="5194EB8E" w:rsidR="5194EB8E">
            <w:rPr>
              <w:rFonts w:ascii="Arial" w:hAnsi="Arial" w:eastAsia="Arial" w:cs="Arial"/>
              <w:sz w:val="12"/>
              <w:szCs w:val="12"/>
            </w:rPr>
            <w:t xml:space="preserve">2766993. Registered Charity No. 1039709. Certified to ISO 27001. The members are Universities UK and </w:t>
          </w:r>
          <w:proofErr w:type="spellStart"/>
          <w:r w:rsidRPr="5194EB8E" w:rsidR="5194EB8E">
            <w:rPr>
              <w:rFonts w:ascii="Arial" w:hAnsi="Arial" w:eastAsia="Arial" w:cs="Arial"/>
              <w:sz w:val="12"/>
              <w:szCs w:val="12"/>
            </w:rPr>
            <w:t>GuildHE</w:t>
          </w:r>
          <w:proofErr w:type="spellEnd"/>
          <w:r w:rsidRPr="5194EB8E" w:rsidR="5194EB8E">
            <w:rPr>
              <w:rFonts w:ascii="Arial" w:hAnsi="Arial" w:eastAsia="Arial" w:cs="Arial"/>
              <w:sz w:val="12"/>
              <w:szCs w:val="12"/>
            </w:rPr>
            <w:t>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1120736126"/>
            <w:docPartObj>
              <w:docPartGallery w:val="Page Numbers (Top of Page)"/>
              <w:docPartUnique/>
            </w:docPartObj>
          </w:sdtPr>
          <w:sdtEndPr/>
          <w:sdtContent>
            <w:p w:rsidR="009C2BE9" w:rsidP="004F3C0F" w:rsidRDefault="009C2BE9" w14:paraId="65347B57" w14:textId="227C1AA2" w14:noSpellErr="1">
              <w:pPr>
                <w:pStyle w:val="Footnote"/>
                <w:jc w:val="right"/>
              </w:pPr>
              <w:r w:rsidR="5194EB8E">
                <w:rPr/>
                <w:t xml:space="preserve">Page </w:t>
              </w:r>
              <w:r w:rsidRPr="5194EB8E">
                <w:rPr>
                  <w:noProof/>
                </w:rPr>
                <w:fldChar w:fldCharType="begin"/>
              </w:r>
              <w:r w:rsidRPr="5194EB8E">
                <w:rPr>
                  <w:noProof/>
                </w:rPr>
                <w:instrText xml:space="preserve"> PAGE </w:instrText>
              </w:r>
              <w:r w:rsidRPr="5194EB8E">
                <w:rPr>
                  <w:noProof/>
                </w:rPr>
                <w:fldChar w:fldCharType="separate"/>
              </w:r>
              <w:r w:rsidRPr="5194EB8E" w:rsidR="5194EB8E">
                <w:rPr>
                  <w:noProof/>
                </w:rPr>
                <w:t>2</w:t>
              </w:r>
              <w:r w:rsidRPr="5194EB8E">
                <w:rPr>
                  <w:noProof/>
                </w:rPr>
                <w:fldChar w:fldCharType="end"/>
              </w:r>
              <w:r w:rsidR="5194EB8E">
                <w:rPr/>
                <w:t xml:space="preserve"> of </w:t>
              </w:r>
              <w:r w:rsidRPr="5194EB8E">
                <w:rPr>
                  <w:noProof/>
                </w:rPr>
                <w:fldChar w:fldCharType="begin"/>
              </w:r>
              <w:r w:rsidRPr="5194EB8E">
                <w:rPr>
                  <w:noProof/>
                </w:rPr>
                <w:instrText xml:space="preserve"> NUMPAGES  </w:instrText>
              </w:r>
              <w:r w:rsidRPr="5194EB8E">
                <w:rPr>
                  <w:noProof/>
                </w:rPr>
                <w:fldChar w:fldCharType="separate"/>
              </w:r>
              <w:r w:rsidRPr="5194EB8E" w:rsidR="5194EB8E">
                <w:rPr>
                  <w:noProof/>
                </w:rPr>
                <w:t>2</w:t>
              </w:r>
              <w:r w:rsidRPr="5194EB8E">
                <w:rPr>
                  <w:noProof/>
                </w:rPr>
                <w:fldChar w:fldCharType="end"/>
              </w:r>
            </w:p>
            <w:p w:rsidR="00F105DB" w:rsidP="004F3C0F" w:rsidRDefault="0046204A" w14:paraId="296CAE8B" w14:textId="77777777">
              <w:pPr>
                <w:pStyle w:val="Footnote"/>
                <w:jc w:val="right"/>
              </w:pPr>
            </w:p>
          </w:sdtContent>
        </w:sdt>
        <w:p w:rsidR="5194EB8E" w:rsidRDefault="5194EB8E" w14:paraId="4DB2F779"/>
      </w:tc>
    </w:tr>
    <w:tr w:rsidR="00656CE1" w:rsidTr="5194EB8E" w14:paraId="5874A3DD" w14:textId="77777777">
      <w:tc>
        <w:tcPr>
          <w:tcW w:w="9962" w:type="dxa"/>
          <w:gridSpan w:val="2"/>
          <w:tcMar/>
          <w:vAlign w:val="bottom"/>
        </w:tcPr>
        <w:p w:rsidR="00656CE1" w:rsidP="004F3C0F" w:rsidRDefault="00EA57A3" w14:paraId="0A64CF62" w14:textId="77777777">
          <w:pPr>
            <w:pStyle w:val="Footnote"/>
            <w:jc w:val="right"/>
          </w:pPr>
          <w:fldSimple w:instr=" FILENAME  \* FirstCap  \* MERGEFORMAT ">
            <w:r>
              <w:rPr>
                <w:noProof/>
              </w:rPr>
              <w:t>Document6</w:t>
            </w:r>
          </w:fldSimple>
        </w:p>
      </w:tc>
    </w:tr>
  </w:tbl>
  <w:p w:rsidRPr="00265129" w:rsidR="002256A3" w:rsidP="00265129" w:rsidRDefault="002256A3" w14:paraId="0DBF372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TableGrid"/>
      <w:tblW w:w="996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Pr="002256A3" w:rsidR="007A3A84" w:rsidTr="5194EB8E" w14:paraId="4714F2F9" w14:textId="77777777">
      <w:trPr>
        <w:trHeight w:val="340"/>
      </w:trPr>
      <w:tc>
        <w:tcPr>
          <w:tcW w:w="7938" w:type="dxa"/>
          <w:tcMar/>
        </w:tcPr>
        <w:p w:rsidR="007A3A84" w:rsidP="007A3A84" w:rsidRDefault="007A3A84" w14:paraId="7E99AC4D" w14:textId="77777777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748DF75" wp14:editId="71B168A3">
                <wp:extent cx="1483200" cy="72000"/>
                <wp:effectExtent l="0" t="0" r="3175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:rsidRPr="002256A3" w:rsidR="007A3A84" w:rsidP="007A3A84" w:rsidRDefault="007A3A84" w14:paraId="68740C9E" w14:textId="77777777">
          <w:pPr>
            <w:pStyle w:val="Body-text"/>
          </w:pPr>
        </w:p>
      </w:tc>
    </w:tr>
    <w:tr w:rsidR="007A3A84" w:rsidTr="5194EB8E" w14:paraId="3DE009FD" w14:textId="77777777">
      <w:tc>
        <w:tcPr>
          <w:tcW w:w="7938" w:type="dxa"/>
          <w:tcMar/>
          <w:vAlign w:val="bottom"/>
        </w:tcPr>
        <w:p w:rsidRPr="004F3C0F" w:rsidR="007A3A84" w:rsidP="007A3A84" w:rsidRDefault="007A3A84" w14:paraId="09BA11AD" w14:textId="77777777">
          <w:pPr>
            <w:rPr>
              <w:rFonts w:cs="Arial"/>
              <w:sz w:val="12"/>
              <w:szCs w:val="12"/>
            </w:rPr>
          </w:pPr>
          <w:r w:rsidRPr="5194EB8E" w:rsidR="5194EB8E">
            <w:rPr>
              <w:rFonts w:ascii="Arial" w:hAnsi="Arial" w:eastAsia="Arial" w:cs="Arial"/>
              <w:sz w:val="12"/>
              <w:szCs w:val="12"/>
            </w:rPr>
            <w:t xml:space="preserve">Higher Education Statistics Agency </w:t>
          </w:r>
          <w:r w:rsidRPr="5194EB8E" w:rsidR="5194EB8E">
            <w:rPr>
              <w:rFonts w:ascii="Arial" w:hAnsi="Arial" w:eastAsia="Arial" w:cs="Arial"/>
              <w:sz w:val="12"/>
              <w:szCs w:val="12"/>
            </w:rPr>
            <w:t>Limited</w:t>
          </w:r>
          <w:r w:rsidRPr="5194EB8E" w:rsidR="5194EB8E">
            <w:rPr>
              <w:rFonts w:ascii="Arial" w:hAnsi="Arial" w:eastAsia="Arial" w:cs="Arial"/>
              <w:sz w:val="12"/>
              <w:szCs w:val="12"/>
            </w:rPr>
            <w:t xml:space="preserve"> is a company limited by guarantee, registered in England at 95 Promenade, Chelt</w:t>
          </w:r>
          <w:r w:rsidRPr="5194EB8E" w:rsidR="5194EB8E">
            <w:rPr>
              <w:rFonts w:ascii="Arial" w:hAnsi="Arial" w:eastAsia="Arial" w:cs="Arial"/>
              <w:sz w:val="12"/>
              <w:szCs w:val="12"/>
            </w:rPr>
            <w:t>enham, GL50 1HZ. Registered No. 0</w:t>
          </w:r>
          <w:r w:rsidRPr="5194EB8E" w:rsidR="5194EB8E">
            <w:rPr>
              <w:rFonts w:ascii="Arial" w:hAnsi="Arial" w:eastAsia="Arial" w:cs="Arial"/>
              <w:sz w:val="12"/>
              <w:szCs w:val="12"/>
            </w:rPr>
            <w:t xml:space="preserve">2766993. Registered Charity No. 1039709. Certified to ISO 27001. The members are Universities UK and </w:t>
          </w:r>
          <w:proofErr w:type="spellStart"/>
          <w:r w:rsidRPr="5194EB8E" w:rsidR="5194EB8E">
            <w:rPr>
              <w:rFonts w:ascii="Arial" w:hAnsi="Arial" w:eastAsia="Arial" w:cs="Arial"/>
              <w:sz w:val="12"/>
              <w:szCs w:val="12"/>
            </w:rPr>
            <w:t>GuildHE</w:t>
          </w:r>
          <w:proofErr w:type="spellEnd"/>
          <w:r w:rsidRPr="5194EB8E" w:rsidR="5194EB8E">
            <w:rPr>
              <w:rFonts w:ascii="Arial" w:hAnsi="Arial" w:eastAsia="Arial" w:cs="Arial"/>
              <w:sz w:val="12"/>
              <w:szCs w:val="12"/>
            </w:rPr>
            <w:t>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-139185191"/>
            <w:docPartObj>
              <w:docPartGallery w:val="Page Numbers (Top of Page)"/>
              <w:docPartUnique/>
            </w:docPartObj>
          </w:sdtPr>
          <w:sdtEndPr/>
          <w:sdtContent>
            <w:p w:rsidR="007A3A84" w:rsidP="007A3A84" w:rsidRDefault="007A3A84" w14:paraId="4244DDCF" w14:textId="56783D4E" w14:noSpellErr="1">
              <w:pPr>
                <w:pStyle w:val="Footnote"/>
                <w:jc w:val="right"/>
              </w:pPr>
              <w:r w:rsidR="5194EB8E">
                <w:rPr/>
                <w:t xml:space="preserve">Page </w:t>
              </w:r>
              <w:r w:rsidRPr="5194EB8E">
                <w:rPr>
                  <w:noProof/>
                </w:rPr>
                <w:fldChar w:fldCharType="begin"/>
              </w:r>
              <w:r w:rsidRPr="5194EB8E">
                <w:rPr>
                  <w:noProof/>
                </w:rPr>
                <w:instrText xml:space="preserve"> PAGE </w:instrText>
              </w:r>
              <w:r w:rsidRPr="5194EB8E">
                <w:rPr>
                  <w:noProof/>
                </w:rPr>
                <w:fldChar w:fldCharType="separate"/>
              </w:r>
              <w:r w:rsidRPr="5194EB8E" w:rsidR="5194EB8E">
                <w:rPr>
                  <w:noProof/>
                </w:rPr>
                <w:t>1</w:t>
              </w:r>
              <w:r w:rsidRPr="5194EB8E">
                <w:rPr>
                  <w:noProof/>
                </w:rPr>
                <w:fldChar w:fldCharType="end"/>
              </w:r>
              <w:r w:rsidR="5194EB8E">
                <w:rPr/>
                <w:t xml:space="preserve"> of </w:t>
              </w:r>
              <w:r w:rsidRPr="5194EB8E">
                <w:rPr>
                  <w:noProof/>
                </w:rPr>
                <w:fldChar w:fldCharType="begin"/>
              </w:r>
              <w:r w:rsidRPr="5194EB8E">
                <w:rPr>
                  <w:noProof/>
                </w:rPr>
                <w:instrText xml:space="preserve"> NUMPAGES  </w:instrText>
              </w:r>
              <w:r w:rsidRPr="5194EB8E">
                <w:rPr>
                  <w:noProof/>
                </w:rPr>
                <w:fldChar w:fldCharType="separate"/>
              </w:r>
              <w:r w:rsidRPr="5194EB8E" w:rsidR="5194EB8E">
                <w:rPr>
                  <w:noProof/>
                </w:rPr>
                <w:t>2</w:t>
              </w:r>
              <w:r w:rsidRPr="5194EB8E">
                <w:rPr>
                  <w:noProof/>
                </w:rPr>
                <w:fldChar w:fldCharType="end"/>
              </w:r>
            </w:p>
            <w:p w:rsidR="007A3A84" w:rsidP="007A3A84" w:rsidRDefault="0046204A" w14:paraId="66FE1E5F" w14:textId="77777777">
              <w:pPr>
                <w:pStyle w:val="Footnote"/>
                <w:jc w:val="right"/>
              </w:pPr>
            </w:p>
          </w:sdtContent>
        </w:sdt>
        <w:p w:rsidR="5194EB8E" w:rsidRDefault="5194EB8E" w14:paraId="7F5E8D6E"/>
      </w:tc>
    </w:tr>
    <w:tr w:rsidR="00656CE1" w:rsidTr="5194EB8E" w14:paraId="373569A4" w14:textId="77777777">
      <w:tc>
        <w:tcPr>
          <w:tcW w:w="9962" w:type="dxa"/>
          <w:gridSpan w:val="2"/>
          <w:tcMar/>
          <w:vAlign w:val="bottom"/>
        </w:tcPr>
        <w:p w:rsidR="00656CE1" w:rsidP="007A3A84" w:rsidRDefault="00EA57A3" w14:paraId="56EC02D4" w14:textId="77777777">
          <w:pPr>
            <w:pStyle w:val="Footnote"/>
            <w:jc w:val="right"/>
          </w:pPr>
          <w:fldSimple w:instr=" FILENAME  \* FirstCap  \* MERGEFORMAT ">
            <w:r>
              <w:rPr>
                <w:noProof/>
              </w:rPr>
              <w:t>Document6</w:t>
            </w:r>
          </w:fldSimple>
        </w:p>
      </w:tc>
    </w:tr>
  </w:tbl>
  <w:p w:rsidR="007A3A84" w:rsidRDefault="007A3A84" w14:paraId="17227E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A3" w:rsidP="002256A3" w:rsidRDefault="00EA57A3" w14:paraId="6B3A2200" w14:textId="77777777">
      <w:pPr>
        <w:spacing w:after="0" w:line="240" w:lineRule="auto"/>
      </w:pPr>
      <w:r>
        <w:separator/>
      </w:r>
    </w:p>
  </w:footnote>
  <w:footnote w:type="continuationSeparator" w:id="0">
    <w:p w:rsidR="00EA57A3" w:rsidP="002256A3" w:rsidRDefault="00EA57A3" w14:paraId="56C8ABD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F3C0F" w:rsidRDefault="00894B0C" w14:paraId="27096F4D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0" wp14:anchorId="482CA81A" wp14:editId="7439C50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S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A6F"/>
    <w:multiLevelType w:val="hybridMultilevel"/>
    <w:tmpl w:val="3EBE50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1921F0"/>
    <w:multiLevelType w:val="hybridMultilevel"/>
    <w:tmpl w:val="5F0CC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54A7A"/>
    <w:multiLevelType w:val="hybridMultilevel"/>
    <w:tmpl w:val="DF8C98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4C52A1"/>
    <w:multiLevelType w:val="hybridMultilevel"/>
    <w:tmpl w:val="6E181E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051468"/>
    <w:multiLevelType w:val="hybridMultilevel"/>
    <w:tmpl w:val="37228A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874827"/>
    <w:multiLevelType w:val="hybridMultilevel"/>
    <w:tmpl w:val="912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C525F5"/>
    <w:multiLevelType w:val="hybridMultilevel"/>
    <w:tmpl w:val="CA3E4386"/>
    <w:lvl w:ilvl="0" w:tplc="6EBEF9E2">
      <w:numFmt w:val="bullet"/>
      <w:lvlText w:val="·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5BAA4FF1"/>
    <w:multiLevelType w:val="hybridMultilevel"/>
    <w:tmpl w:val="0C6CDD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75051C"/>
    <w:multiLevelType w:val="hybridMultilevel"/>
    <w:tmpl w:val="52E0A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E75B3"/>
    <w:multiLevelType w:val="hybridMultilevel"/>
    <w:tmpl w:val="284C2F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7930262"/>
    <w:multiLevelType w:val="hybridMultilevel"/>
    <w:tmpl w:val="5D9C8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62AED"/>
    <w:multiLevelType w:val="hybridMultilevel"/>
    <w:tmpl w:val="5F663C1A"/>
    <w:lvl w:ilvl="0" w:tplc="6EBEF9E2">
      <w:numFmt w:val="bullet"/>
      <w:lvlText w:val="·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A3"/>
    <w:rsid w:val="000D4D40"/>
    <w:rsid w:val="00106018"/>
    <w:rsid w:val="0014008D"/>
    <w:rsid w:val="00163CAF"/>
    <w:rsid w:val="0017193E"/>
    <w:rsid w:val="001871D4"/>
    <w:rsid w:val="00192304"/>
    <w:rsid w:val="001A094A"/>
    <w:rsid w:val="001B4F29"/>
    <w:rsid w:val="001C412B"/>
    <w:rsid w:val="002256A3"/>
    <w:rsid w:val="002611C2"/>
    <w:rsid w:val="00265129"/>
    <w:rsid w:val="00282CFC"/>
    <w:rsid w:val="002E336F"/>
    <w:rsid w:val="0030130C"/>
    <w:rsid w:val="00334793"/>
    <w:rsid w:val="003F352C"/>
    <w:rsid w:val="004028CD"/>
    <w:rsid w:val="00412F5F"/>
    <w:rsid w:val="004339F9"/>
    <w:rsid w:val="0046204A"/>
    <w:rsid w:val="00463606"/>
    <w:rsid w:val="00475EAC"/>
    <w:rsid w:val="00482F67"/>
    <w:rsid w:val="004F3C0F"/>
    <w:rsid w:val="00522CDC"/>
    <w:rsid w:val="005A203B"/>
    <w:rsid w:val="005F6046"/>
    <w:rsid w:val="006060CB"/>
    <w:rsid w:val="00644FE1"/>
    <w:rsid w:val="00654475"/>
    <w:rsid w:val="00656CE1"/>
    <w:rsid w:val="006A6182"/>
    <w:rsid w:val="006A7BB6"/>
    <w:rsid w:val="006D0CFF"/>
    <w:rsid w:val="007141E3"/>
    <w:rsid w:val="00720D86"/>
    <w:rsid w:val="00741E7B"/>
    <w:rsid w:val="00745C92"/>
    <w:rsid w:val="007A3A84"/>
    <w:rsid w:val="00807BF1"/>
    <w:rsid w:val="008173F7"/>
    <w:rsid w:val="00894B0C"/>
    <w:rsid w:val="008A043B"/>
    <w:rsid w:val="008B2219"/>
    <w:rsid w:val="008C5063"/>
    <w:rsid w:val="008D09DD"/>
    <w:rsid w:val="009A0718"/>
    <w:rsid w:val="009C2BE9"/>
    <w:rsid w:val="00A34F7F"/>
    <w:rsid w:val="00AD20E5"/>
    <w:rsid w:val="00AD2A27"/>
    <w:rsid w:val="00B566B8"/>
    <w:rsid w:val="00BA3077"/>
    <w:rsid w:val="00BA4350"/>
    <w:rsid w:val="00BA45FC"/>
    <w:rsid w:val="00BC5116"/>
    <w:rsid w:val="00BD6F8F"/>
    <w:rsid w:val="00C13364"/>
    <w:rsid w:val="00C179FD"/>
    <w:rsid w:val="00C562E3"/>
    <w:rsid w:val="00C56363"/>
    <w:rsid w:val="00C64BBE"/>
    <w:rsid w:val="00CA2CF9"/>
    <w:rsid w:val="00D46C5D"/>
    <w:rsid w:val="00D52207"/>
    <w:rsid w:val="00D94B02"/>
    <w:rsid w:val="00DA4040"/>
    <w:rsid w:val="00DB046F"/>
    <w:rsid w:val="00DE5B2E"/>
    <w:rsid w:val="00E67A3A"/>
    <w:rsid w:val="00E77B91"/>
    <w:rsid w:val="00E84FBA"/>
    <w:rsid w:val="00E9139F"/>
    <w:rsid w:val="00EA57A3"/>
    <w:rsid w:val="00EB6CF9"/>
    <w:rsid w:val="00F105DB"/>
    <w:rsid w:val="00FA1C87"/>
    <w:rsid w:val="00FE5921"/>
    <w:rsid w:val="00FF3199"/>
    <w:rsid w:val="5194E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14A4E"/>
  <w15:chartTrackingRefBased/>
  <w15:docId w15:val="{5DFC4B40-AFFA-471D-8929-2F8CB01C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rsid w:val="00DE5B2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B0C"/>
    <w:pPr>
      <w:keepNext/>
      <w:keepLines/>
      <w:spacing w:after="0" w:line="240" w:lineRule="auto"/>
      <w:outlineLvl w:val="0"/>
    </w:pPr>
    <w:rPr>
      <w:rFonts w:ascii="Arial Bold" w:hAnsi="Arial Bold" w:eastAsiaTheme="majorEastAsia" w:cstheme="majorBidi"/>
      <w:b/>
      <w:caps/>
      <w:color w:val="6A86B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B0C"/>
    <w:pPr>
      <w:keepNext/>
      <w:keepLines/>
      <w:spacing w:after="0" w:line="240" w:lineRule="auto"/>
      <w:outlineLvl w:val="1"/>
    </w:pPr>
    <w:rPr>
      <w:rFonts w:eastAsiaTheme="majorEastAsia" w:cstheme="majorBidi"/>
      <w:caps/>
      <w:color w:val="6A86B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B046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E406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661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6619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E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E40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B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7BB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256A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56A3"/>
  </w:style>
  <w:style w:type="paragraph" w:styleId="Body-text" w:customStyle="1">
    <w:name w:val="Body-text"/>
    <w:basedOn w:val="Normal"/>
    <w:qFormat/>
    <w:rsid w:val="00163CAF"/>
    <w:pPr>
      <w:spacing w:after="0" w:line="240" w:lineRule="auto"/>
    </w:pPr>
  </w:style>
  <w:style w:type="paragraph" w:styleId="Body-TextBodytext" w:customStyle="1">
    <w:name w:val="Body-Text (Body text)"/>
    <w:basedOn w:val="Normal"/>
    <w:uiPriority w:val="99"/>
    <w:rsid w:val="002256A3"/>
    <w:pPr>
      <w:suppressAutoHyphens/>
      <w:autoSpaceDE w:val="0"/>
      <w:autoSpaceDN w:val="0"/>
      <w:adjustRightInd w:val="0"/>
      <w:spacing w:after="227" w:line="260" w:lineRule="atLeast"/>
      <w:textAlignment w:val="center"/>
    </w:pPr>
    <w:rPr>
      <w:rFonts w:ascii="Calibri" w:hAnsi="Calibri" w:cs="Calibri"/>
      <w:color w:val="000000"/>
    </w:rPr>
  </w:style>
  <w:style w:type="paragraph" w:styleId="Body-text-space-after" w:customStyle="1">
    <w:name w:val="Body-text-space-after"/>
    <w:basedOn w:val="Body-text"/>
    <w:rsid w:val="00E84FBA"/>
    <w:pPr>
      <w:spacing w:after="454"/>
    </w:pPr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cParagraph" w:customStyle="1">
    <w:name w:val="[Basic Paragraph]"/>
    <w:basedOn w:val="Normal"/>
    <w:uiPriority w:val="99"/>
    <w:rsid w:val="0026512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ddress-text" w:customStyle="1">
    <w:name w:val="Address-text"/>
    <w:basedOn w:val="Body-text"/>
    <w:rsid w:val="00265129"/>
    <w:pPr>
      <w:spacing w:after="85" w:line="200" w:lineRule="exact"/>
    </w:pPr>
  </w:style>
  <w:style w:type="paragraph" w:styleId="Contact-info" w:customStyle="1">
    <w:name w:val="Contact-info"/>
    <w:rsid w:val="00265129"/>
    <w:pPr>
      <w:spacing w:line="200" w:lineRule="exact"/>
      <w:ind w:left="255" w:hanging="255"/>
    </w:pPr>
    <w:rPr>
      <w:rFonts w:ascii="Arial" w:hAnsi="Arial"/>
      <w:sz w:val="18"/>
    </w:rPr>
  </w:style>
  <w:style w:type="character" w:styleId="Bold" w:customStyle="1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styleId="Heading1Char" w:customStyle="1">
    <w:name w:val="Heading 1 Char"/>
    <w:basedOn w:val="DefaultParagraphFont"/>
    <w:link w:val="Heading1"/>
    <w:uiPriority w:val="9"/>
    <w:rsid w:val="00894B0C"/>
    <w:rPr>
      <w:rFonts w:ascii="Arial Bold" w:hAnsi="Arial Bold" w:eastAsiaTheme="majorEastAsia" w:cstheme="majorBidi"/>
      <w:b/>
      <w:caps/>
      <w:color w:val="6A86B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styleId="Footnote" w:customStyle="1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styleId="Heading2Char" w:customStyle="1">
    <w:name w:val="Heading 2 Char"/>
    <w:basedOn w:val="DefaultParagraphFont"/>
    <w:link w:val="Heading2"/>
    <w:uiPriority w:val="9"/>
    <w:rsid w:val="00894B0C"/>
    <w:rPr>
      <w:rFonts w:ascii="Arial" w:hAnsi="Arial" w:eastAsiaTheme="majorEastAsia" w:cstheme="majorBidi"/>
      <w:caps/>
      <w:color w:val="6A86B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319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F3199"/>
    <w:rPr>
      <w:rFonts w:ascii="Arial" w:hAnsi="Arial" w:eastAsiaTheme="majorEastAsia" w:cstheme="majorBidi"/>
      <w:spacing w:val="-10"/>
      <w:kern w:val="28"/>
      <w:sz w:val="56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rsid w:val="00DB046F"/>
    <w:rPr>
      <w:rFonts w:asciiTheme="majorHAnsi" w:hAnsiTheme="majorHAnsi" w:eastAsiaTheme="majorEastAsia" w:cstheme="majorBidi"/>
      <w:color w:val="2E4061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DB046F"/>
    <w:rPr>
      <w:rFonts w:asciiTheme="majorHAnsi" w:hAnsiTheme="majorHAnsi" w:eastAsiaTheme="majorEastAsia" w:cstheme="majorBidi"/>
      <w:i/>
      <w:iCs/>
      <w:color w:val="466192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DB046F"/>
    <w:rPr>
      <w:rFonts w:asciiTheme="majorHAnsi" w:hAnsiTheme="majorHAnsi" w:eastAsiaTheme="majorEastAsia" w:cstheme="majorBidi"/>
      <w:color w:val="466192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sid w:val="00DB046F"/>
    <w:rPr>
      <w:rFonts w:asciiTheme="majorHAnsi" w:hAnsiTheme="majorHAnsi" w:eastAsiaTheme="majorEastAsia" w:cstheme="majorBidi"/>
      <w:color w:val="2E4061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sid w:val="00DB046F"/>
    <w:rPr>
      <w:rFonts w:asciiTheme="majorHAnsi" w:hAnsiTheme="majorHAnsi" w:eastAsiaTheme="majorEastAsia" w:cstheme="majorBidi"/>
      <w:i/>
      <w:iCs/>
      <w:color w:val="2E4061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DB046F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DB046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7141E3"/>
    <w:pPr>
      <w:spacing w:after="200" w:line="240" w:lineRule="auto"/>
    </w:pPr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894B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5B2E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DE5B2E"/>
    <w:rPr>
      <w:rFonts w:ascii="Arial" w:hAnsi="Arial"/>
      <w:color w:val="6A86B8" w:themeColor="accen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3.png" Id="R2e87ec5966454431" /><Relationship Type="http://schemas.openxmlformats.org/officeDocument/2006/relationships/glossaryDocument" Target="/word/glossary/document.xml" Id="R0129972fc4d0496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sa.ac.uk\applications\WorkGroupTemplates\HESA\HESA_meeting_paper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38d4-e484-4b6f-a883-e1d0c5bc9cb7}"/>
      </w:docPartPr>
      <w:docPartBody>
        <w:p w14:paraId="0C8CF6A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description xmlns="a45e714d-71aa-41bd-a0fb-0b18d003f343" xsi:nil="true"/>
    <Relates_x0020_to xmlns="a45e714d-71aa-41bd-a0fb-0b18d003f3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72AF6BC9D84FBF36EEEFE37A3892" ma:contentTypeVersion="10" ma:contentTypeDescription="Create a new document." ma:contentTypeScope="" ma:versionID="269f85545fa28430a5d3282b0779f206">
  <xsd:schema xmlns:xsd="http://www.w3.org/2001/XMLSchema" xmlns:xs="http://www.w3.org/2001/XMLSchema" xmlns:p="http://schemas.microsoft.com/office/2006/metadata/properties" xmlns:ns2="9b9937a8-eafa-4a27-b809-98474ec73a55" xmlns:ns3="a45e714d-71aa-41bd-a0fb-0b18d003f343" xmlns:ns4="5677653f-c5f2-48a5-85d0-ca15fa286beb" targetNamespace="http://schemas.microsoft.com/office/2006/metadata/properties" ma:root="true" ma:fieldsID="582d09030af37f861091776ecaf1129d" ns2:_="" ns3:_="" ns4:_="">
    <xsd:import namespace="9b9937a8-eafa-4a27-b809-98474ec73a55"/>
    <xsd:import namespace="a45e714d-71aa-41bd-a0fb-0b18d003f343"/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Relates_x0020_to" minOccurs="0"/>
                <xsd:element ref="ns3:Doc_x0020_description" minOccurs="0"/>
                <xsd:element ref="ns2:SharingHintHash" minOccurs="0"/>
                <xsd:element ref="ns4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37a8-eafa-4a27-b809-98474ec73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714d-71aa-41bd-a0fb-0b18d003f343" elementFormDefault="qualified">
    <xsd:import namespace="http://schemas.microsoft.com/office/2006/documentManagement/types"/>
    <xsd:import namespace="http://schemas.microsoft.com/office/infopath/2007/PartnerControls"/>
    <xsd:element name="Relates_x0020_to" ma:index="9" nillable="true" ma:displayName="Relates to review" ma:list="{b2fcf423-e922-4f19-8280-9041456f1976}" ma:internalName="Relates_x0020_to" ma:readOnly="false" ma:showField="Title">
      <xsd:simpleType>
        <xsd:restriction base="dms:Lookup"/>
      </xsd:simpleType>
    </xsd:element>
    <xsd:element name="Doc_x0020_description" ma:index="10" nillable="true" ma:displayName="Doc description" ma:description="What type of document is this? Meeting paper? Consultation response? Emails?" ma:internalName="Doc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89EE-EE84-4C93-9B59-CD1E2FC6368B}">
  <ds:schemaRefs>
    <ds:schemaRef ds:uri="http://purl.org/dc/dcmitype/"/>
    <ds:schemaRef ds:uri="http://www.w3.org/XML/1998/namespace"/>
    <ds:schemaRef ds:uri="http://schemas.microsoft.com/office/2006/metadata/properties"/>
    <ds:schemaRef ds:uri="a45e714d-71aa-41bd-a0fb-0b18d003f343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77653f-c5f2-48a5-85d0-ca15fa286beb"/>
    <ds:schemaRef ds:uri="9b9937a8-eafa-4a27-b809-98474ec73a55"/>
  </ds:schemaRefs>
</ds:datastoreItem>
</file>

<file path=customXml/itemProps2.xml><?xml version="1.0" encoding="utf-8"?>
<ds:datastoreItem xmlns:ds="http://schemas.openxmlformats.org/officeDocument/2006/customXml" ds:itemID="{FA073864-45BE-4ADF-B2B2-9322F0F53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5A127-D2C3-4C8C-A80C-A6FB57B4D9F2}"/>
</file>

<file path=customXml/itemProps4.xml><?xml version="1.0" encoding="utf-8"?>
<ds:datastoreItem xmlns:ds="http://schemas.openxmlformats.org/officeDocument/2006/customXml" ds:itemID="{70FB9545-BB16-4377-9F76-2B3D68BFBD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HESA_meeting_paper.dotx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Hewitt</dc:creator>
  <cp:keywords/>
  <dc:description/>
  <cp:lastModifiedBy>Dan Cook</cp:lastModifiedBy>
  <cp:revision>3</cp:revision>
  <cp:lastPrinted>2016-06-09T15:21:00Z</cp:lastPrinted>
  <dcterms:created xsi:type="dcterms:W3CDTF">2016-10-19T16:33:00Z</dcterms:created>
  <dcterms:modified xsi:type="dcterms:W3CDTF">2016-10-21T14:28:54Z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0x010100D42772AF6BC9D84FBF36EEEFE37A3892</vt:lpwstr>
  </property>
</Properties>
</file>