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3726" w14:textId="77777777" w:rsidR="006A7BB6" w:rsidRDefault="00EB6CF9" w:rsidP="005A203B">
      <w:pPr>
        <w:spacing w:after="0" w:line="240" w:lineRule="auto"/>
        <w:rPr>
          <w:rStyle w:val="Bold"/>
        </w:rPr>
      </w:pPr>
      <w:r w:rsidRPr="00D46C5D">
        <w:rPr>
          <w:rStyle w:val="Bold"/>
        </w:rPr>
        <w:fldChar w:fldCharType="begin"/>
      </w:r>
      <w:r w:rsidRPr="00D46C5D">
        <w:rPr>
          <w:rStyle w:val="Bold"/>
        </w:rPr>
        <w:instrText xml:space="preserve"> FILLIN  \d "Type CONFIDENTIAL if required or press Delete key to remove and OK button"  \* MERGEFORMAT </w:instrText>
      </w:r>
      <w:r w:rsidRPr="00D46C5D">
        <w:rPr>
          <w:rStyle w:val="Bold"/>
        </w:rPr>
        <w:fldChar w:fldCharType="end"/>
      </w:r>
    </w:p>
    <w:p w14:paraId="5450A570" w14:textId="77777777" w:rsidR="007141E3" w:rsidRDefault="007141E3" w:rsidP="005A203B">
      <w:pPr>
        <w:pStyle w:val="Caption"/>
        <w:spacing w:after="0"/>
        <w:rPr>
          <w:rStyle w:val="Bold"/>
          <w:i w:val="0"/>
          <w:iCs w:val="0"/>
          <w:sz w:val="22"/>
          <w:szCs w:val="22"/>
        </w:rPr>
      </w:pPr>
    </w:p>
    <w:p w14:paraId="34E7A476" w14:textId="77777777" w:rsidR="00C8184A" w:rsidRPr="00C82648" w:rsidRDefault="3B59FF40" w:rsidP="00C8184A">
      <w:pPr>
        <w:pStyle w:val="Heading1"/>
        <w:rPr>
          <w:b w:val="0"/>
        </w:rPr>
      </w:pPr>
      <w:r>
        <w:rPr>
          <w:b w:val="0"/>
        </w:rPr>
        <w:t>review of graduate destinations and outcomes data – working group 4</w:t>
      </w:r>
    </w:p>
    <w:p w14:paraId="359D167D" w14:textId="77777777" w:rsidR="00C8184A" w:rsidRDefault="00C8184A" w:rsidP="00C8184A">
      <w:pPr>
        <w:pStyle w:val="Body-text"/>
      </w:pPr>
    </w:p>
    <w:p w14:paraId="66748828" w14:textId="77777777" w:rsidR="00C8184A" w:rsidRDefault="3B59FF40" w:rsidP="00C8184A">
      <w:pPr>
        <w:pStyle w:val="Heading2"/>
      </w:pPr>
      <w:r>
        <w:t>24</w:t>
      </w:r>
      <w:r w:rsidRPr="3B59FF40">
        <w:rPr>
          <w:vertAlign w:val="superscript"/>
        </w:rPr>
        <w:t xml:space="preserve"> </w:t>
      </w:r>
      <w:r>
        <w:t>October 11:00 – 25 october 14:30</w:t>
      </w:r>
    </w:p>
    <w:p w14:paraId="1F986310" w14:textId="77777777" w:rsidR="00C8184A" w:rsidRDefault="3B59FF40" w:rsidP="00C8184A">
      <w:pPr>
        <w:pStyle w:val="Heading2"/>
      </w:pPr>
      <w:r>
        <w:t>HESA OFFICES, 95 the promenade, cheltenham, gl50 1hz</w:t>
      </w:r>
    </w:p>
    <w:p w14:paraId="341D324F" w14:textId="77777777" w:rsidR="00894B0C" w:rsidRDefault="3B59FF40" w:rsidP="005A203B">
      <w:pPr>
        <w:pStyle w:val="Heading1"/>
        <w:jc w:val="right"/>
      </w:pPr>
      <w:r>
        <w:t>paper no: 6</w:t>
      </w:r>
    </w:p>
    <w:p w14:paraId="5F1FBDD7" w14:textId="77777777" w:rsidR="00894B0C" w:rsidRDefault="00894B0C" w:rsidP="005A203B">
      <w:pPr>
        <w:spacing w:after="0" w:line="240" w:lineRule="auto"/>
      </w:pPr>
    </w:p>
    <w:p w14:paraId="5FC2C356" w14:textId="77777777" w:rsidR="00894B0C" w:rsidRDefault="3B59FF40" w:rsidP="005A203B">
      <w:pPr>
        <w:pStyle w:val="Heading1"/>
      </w:pPr>
      <w:r>
        <w:t>Timescales and additional surveys</w:t>
      </w:r>
    </w:p>
    <w:p w14:paraId="4DCC991A" w14:textId="77777777" w:rsidR="00C8184A" w:rsidRDefault="00C8184A" w:rsidP="00C8184A"/>
    <w:p w14:paraId="61C2F3D8" w14:textId="66DD1C15" w:rsidR="3B59FF40" w:rsidRDefault="3B59FF40" w:rsidP="3B59FF40">
      <w:pPr>
        <w:pStyle w:val="Heading2"/>
      </w:pPr>
      <w:r>
        <w:t>Strategic Group steer</w:t>
      </w:r>
    </w:p>
    <w:p w14:paraId="4E356E6F" w14:textId="23E1D0AC" w:rsidR="3B59FF40" w:rsidRDefault="3B59FF40" w:rsidP="3B59FF40">
      <w:r>
        <w:t>The Strategic Group advised us to push the main survey point out to a period between 12 and 18 months. We were also advised to pursue the creation of a platform approach that would enable other survey activity to occur before and after the census, for samples or cohorts of students from small numbers up to additional census-type activity.</w:t>
      </w:r>
    </w:p>
    <w:p w14:paraId="279E9D23" w14:textId="45B4652C" w:rsidR="3B59FF40" w:rsidRDefault="3B59FF40" w:rsidP="3B59FF40">
      <w:pPr>
        <w:pStyle w:val="Heading2"/>
      </w:pPr>
    </w:p>
    <w:p w14:paraId="5D8809E5" w14:textId="7F3B0332" w:rsidR="00F94CCE" w:rsidRDefault="3B59FF40" w:rsidP="00F94CCE">
      <w:pPr>
        <w:pStyle w:val="Heading2"/>
      </w:pPr>
      <w:r>
        <w:t>Timescales</w:t>
      </w:r>
    </w:p>
    <w:p w14:paraId="15F69239" w14:textId="10574B7C" w:rsidR="00F94CCE" w:rsidRPr="00F94CCE" w:rsidRDefault="3B59FF40" w:rsidP="00F94CCE">
      <w:r>
        <w:t>The consultation asked respondents to identify their preferences for the timing of the survey.</w:t>
      </w:r>
    </w:p>
    <w:p w14:paraId="78E167C0" w14:textId="65D1F074" w:rsidR="00F94CCE" w:rsidRPr="00767BED" w:rsidRDefault="00767BED" w:rsidP="00F94CCE">
      <w:pPr>
        <w:rPr>
          <w:i/>
        </w:rPr>
      </w:pPr>
      <w:r w:rsidRPr="00767BED">
        <w:rPr>
          <w:i/>
          <w:sz w:val="18"/>
        </w:rPr>
        <w:t xml:space="preserve">Figure </w:t>
      </w:r>
      <w:r w:rsidRPr="00767BED">
        <w:rPr>
          <w:i/>
          <w:sz w:val="18"/>
        </w:rPr>
        <w:fldChar w:fldCharType="begin"/>
      </w:r>
      <w:r w:rsidRPr="00767BED">
        <w:rPr>
          <w:i/>
          <w:sz w:val="18"/>
        </w:rPr>
        <w:instrText xml:space="preserve"> SEQ Figure \* ARABIC </w:instrText>
      </w:r>
      <w:r w:rsidRPr="00767BED">
        <w:rPr>
          <w:i/>
          <w:sz w:val="18"/>
        </w:rPr>
        <w:fldChar w:fldCharType="separate"/>
      </w:r>
      <w:r>
        <w:rPr>
          <w:i/>
          <w:noProof/>
          <w:sz w:val="18"/>
        </w:rPr>
        <w:t>1</w:t>
      </w:r>
      <w:r w:rsidRPr="00767BED">
        <w:rPr>
          <w:i/>
          <w:sz w:val="18"/>
        </w:rPr>
        <w:fldChar w:fldCharType="end"/>
      </w:r>
      <w:r w:rsidRPr="00767BED">
        <w:rPr>
          <w:i/>
          <w:sz w:val="18"/>
        </w:rPr>
        <w:t xml:space="preserve"> Responses to question 15</w:t>
      </w:r>
      <w:bookmarkStart w:id="0" w:name="_GoBack"/>
      <w:bookmarkEnd w:id="0"/>
      <w:r w:rsidR="00F94CCE" w:rsidRPr="00767BED">
        <w:rPr>
          <w:i/>
          <w:noProof/>
          <w:lang w:eastAsia="en-GB"/>
        </w:rPr>
        <w:drawing>
          <wp:anchor distT="0" distB="0" distL="114300" distR="114300" simplePos="0" relativeHeight="251658240" behindDoc="0" locked="0" layoutInCell="1" allowOverlap="1" wp14:anchorId="6B478ACE" wp14:editId="0955037F">
            <wp:simplePos x="0" y="0"/>
            <wp:positionH relativeFrom="column">
              <wp:posOffset>3175</wp:posOffset>
            </wp:positionH>
            <wp:positionV relativeFrom="paragraph">
              <wp:posOffset>-1270</wp:posOffset>
            </wp:positionV>
            <wp:extent cx="6004560" cy="2809875"/>
            <wp:effectExtent l="0" t="0" r="15240" b="9525"/>
            <wp:wrapTopAndBottom/>
            <wp:docPr id="6" name="Chart 6">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EE8F327" w14:textId="5D4DF692" w:rsidR="00F94CCE" w:rsidRDefault="00F94CCE" w:rsidP="00F94CCE">
      <w:pPr>
        <w:pStyle w:val="Caption"/>
      </w:pPr>
      <w:r>
        <w:rPr>
          <w:noProof/>
          <w:lang w:eastAsia="en-GB"/>
        </w:rPr>
        <w:lastRenderedPageBreak/>
        <w:drawing>
          <wp:anchor distT="0" distB="0" distL="114300" distR="114300" simplePos="0" relativeHeight="251659264" behindDoc="0" locked="0" layoutInCell="1" allowOverlap="1" wp14:anchorId="6A5B35DF" wp14:editId="6A0CC1D3">
            <wp:simplePos x="0" y="0"/>
            <wp:positionH relativeFrom="column">
              <wp:posOffset>3175</wp:posOffset>
            </wp:positionH>
            <wp:positionV relativeFrom="paragraph">
              <wp:posOffset>134620</wp:posOffset>
            </wp:positionV>
            <wp:extent cx="6004560" cy="2370455"/>
            <wp:effectExtent l="0" t="0" r="15240" b="10795"/>
            <wp:wrapTopAndBottom/>
            <wp:docPr id="7" name="Chart 7">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00C0D99" w14:textId="432CA6B6" w:rsidR="00F94CCE" w:rsidRDefault="00F94CCE" w:rsidP="00F94CCE">
      <w:pPr>
        <w:pStyle w:val="Caption"/>
      </w:pPr>
      <w:r>
        <w:t xml:space="preserve">Figure </w:t>
      </w:r>
      <w:fldSimple w:instr=" SEQ Figure \* ARABIC ">
        <w:r w:rsidR="00767BED">
          <w:rPr>
            <w:noProof/>
          </w:rPr>
          <w:t>2</w:t>
        </w:r>
      </w:fldSimple>
      <w:r>
        <w:t xml:space="preserve"> Responses to question 16</w:t>
      </w:r>
    </w:p>
    <w:p w14:paraId="35E1090A" w14:textId="77777777" w:rsidR="00C8184A" w:rsidRDefault="3B59FF40" w:rsidP="00C8184A">
      <w:pPr>
        <w:autoSpaceDE w:val="0"/>
        <w:autoSpaceDN w:val="0"/>
        <w:adjustRightInd w:val="0"/>
        <w:spacing w:after="0" w:line="240" w:lineRule="auto"/>
        <w:rPr>
          <w:rFonts w:cs="Arial"/>
          <w:color w:val="000000"/>
        </w:rPr>
      </w:pPr>
      <w:r w:rsidRPr="3B59FF40">
        <w:rPr>
          <w:rFonts w:eastAsia="Arial" w:cs="Arial"/>
          <w:color w:val="000000" w:themeColor="text1"/>
        </w:rPr>
        <w:t>Respondents set out their arguments for the different timings as summarised below:</w:t>
      </w:r>
    </w:p>
    <w:p w14:paraId="15248599" w14:textId="77777777" w:rsidR="00C8184A" w:rsidRPr="00C8184A" w:rsidRDefault="3B59FF40" w:rsidP="3B59FF40">
      <w:pPr>
        <w:pStyle w:val="ListParagraph"/>
        <w:numPr>
          <w:ilvl w:val="0"/>
          <w:numId w:val="3"/>
        </w:numPr>
        <w:autoSpaceDE w:val="0"/>
        <w:autoSpaceDN w:val="0"/>
        <w:adjustRightInd w:val="0"/>
        <w:spacing w:after="0" w:line="240" w:lineRule="auto"/>
        <w:rPr>
          <w:rFonts w:eastAsia="Arial" w:cs="Arial"/>
          <w:color w:val="000000"/>
        </w:rPr>
      </w:pPr>
      <w:r w:rsidRPr="3B59FF40">
        <w:rPr>
          <w:rFonts w:eastAsia="Arial" w:cs="Arial"/>
          <w:color w:val="000000" w:themeColor="text1"/>
        </w:rPr>
        <w:t xml:space="preserve">For those whose preference was maintaining </w:t>
      </w:r>
      <w:r w:rsidRPr="3B59FF40">
        <w:rPr>
          <w:rFonts w:eastAsia="Arial" w:cs="Arial"/>
          <w:b/>
          <w:bCs/>
          <w:color w:val="000000" w:themeColor="text1"/>
        </w:rPr>
        <w:t xml:space="preserve">six-month </w:t>
      </w:r>
      <w:r w:rsidRPr="3B59FF40">
        <w:rPr>
          <w:rFonts w:eastAsia="Arial" w:cs="Arial"/>
          <w:color w:val="000000" w:themeColor="text1"/>
        </w:rPr>
        <w:t>survey timing, the majority of respondents focused on the response rates that can be achieved at this stage, and that these are unlikely to be maintained at a later period. The majority of respondents also highlighted that the six-month timing allows prospective students or final year students access to recent information about graduate employment. Some HE providers emphasised that outcomes at six months are more likely to be related to a graduate’s university experience than subsequent life experience. Other arguments posed were that it allows for understanding of how quickly graduates get into graduate level jobs or further study, and that this timing avoids confusion if graduates have gone onto further study.</w:t>
      </w:r>
    </w:p>
    <w:p w14:paraId="35260491" w14:textId="77777777" w:rsidR="00C8184A" w:rsidRPr="00C8184A" w:rsidRDefault="3B59FF40" w:rsidP="3B59FF40">
      <w:pPr>
        <w:pStyle w:val="ListParagraph"/>
        <w:numPr>
          <w:ilvl w:val="0"/>
          <w:numId w:val="3"/>
        </w:numPr>
        <w:autoSpaceDE w:val="0"/>
        <w:autoSpaceDN w:val="0"/>
        <w:adjustRightInd w:val="0"/>
        <w:spacing w:after="0" w:line="240" w:lineRule="auto"/>
        <w:rPr>
          <w:rFonts w:eastAsia="Arial" w:cs="Arial"/>
          <w:color w:val="000000"/>
        </w:rPr>
      </w:pPr>
      <w:r w:rsidRPr="3B59FF40">
        <w:rPr>
          <w:rFonts w:eastAsia="Arial" w:cs="Arial"/>
          <w:color w:val="000000" w:themeColor="text1"/>
        </w:rPr>
        <w:t xml:space="preserve">Reasons posed by those who would prefer a survey around </w:t>
      </w:r>
      <w:r w:rsidRPr="3B59FF40">
        <w:rPr>
          <w:rFonts w:eastAsia="Arial" w:cs="Arial"/>
          <w:b/>
          <w:bCs/>
          <w:color w:val="000000" w:themeColor="text1"/>
        </w:rPr>
        <w:t xml:space="preserve">nine to ten months </w:t>
      </w:r>
      <w:r w:rsidRPr="3B59FF40">
        <w:rPr>
          <w:rFonts w:eastAsia="Arial" w:cs="Arial"/>
          <w:color w:val="000000" w:themeColor="text1"/>
        </w:rPr>
        <w:t>postgraduation, were that it maintains the relationship between graduates and their HE provider, and that it allows for rapid evaluation of outcomes.</w:t>
      </w:r>
    </w:p>
    <w:p w14:paraId="0E89FB2E" w14:textId="77777777" w:rsidR="00C8184A" w:rsidRPr="00C8184A" w:rsidRDefault="3B59FF40" w:rsidP="3B59FF40">
      <w:pPr>
        <w:pStyle w:val="ListParagraph"/>
        <w:numPr>
          <w:ilvl w:val="0"/>
          <w:numId w:val="3"/>
        </w:numPr>
        <w:autoSpaceDE w:val="0"/>
        <w:autoSpaceDN w:val="0"/>
        <w:adjustRightInd w:val="0"/>
        <w:spacing w:after="0" w:line="240" w:lineRule="auto"/>
        <w:rPr>
          <w:rFonts w:eastAsia="Arial" w:cs="Arial"/>
          <w:color w:val="000000"/>
        </w:rPr>
      </w:pPr>
      <w:r w:rsidRPr="3B59FF40">
        <w:rPr>
          <w:rFonts w:eastAsia="Arial" w:cs="Arial"/>
          <w:color w:val="000000" w:themeColor="text1"/>
        </w:rPr>
        <w:t xml:space="preserve">The clear theme of those whose preference was a </w:t>
      </w:r>
      <w:r w:rsidRPr="3B59FF40">
        <w:rPr>
          <w:rFonts w:eastAsia="Arial" w:cs="Arial"/>
          <w:b/>
          <w:bCs/>
          <w:color w:val="000000" w:themeColor="text1"/>
        </w:rPr>
        <w:t xml:space="preserve">12 months </w:t>
      </w:r>
      <w:r w:rsidRPr="3B59FF40">
        <w:rPr>
          <w:rFonts w:eastAsia="Arial" w:cs="Arial"/>
          <w:color w:val="000000" w:themeColor="text1"/>
        </w:rPr>
        <w:t>survey timing was the balance that this offers between maintaining high response rates and allowing graduates time to settle into a career path. Many respondents stated that they believed graduates would be in more settled employment than at six months. One practical concern with twelve months was that this would mean the survey would fall in the summer period, which may add difficulties to data collection.</w:t>
      </w:r>
    </w:p>
    <w:p w14:paraId="5E75D8A5" w14:textId="77777777" w:rsidR="00C8184A" w:rsidRPr="00C8184A" w:rsidRDefault="3B59FF40" w:rsidP="3B59FF40">
      <w:pPr>
        <w:pStyle w:val="ListParagraph"/>
        <w:numPr>
          <w:ilvl w:val="0"/>
          <w:numId w:val="3"/>
        </w:numPr>
        <w:autoSpaceDE w:val="0"/>
        <w:autoSpaceDN w:val="0"/>
        <w:adjustRightInd w:val="0"/>
        <w:spacing w:after="0" w:line="240" w:lineRule="auto"/>
        <w:rPr>
          <w:rFonts w:eastAsia="Arial" w:cs="Arial"/>
          <w:color w:val="000000"/>
        </w:rPr>
      </w:pPr>
      <w:r w:rsidRPr="3B59FF40">
        <w:rPr>
          <w:rFonts w:eastAsia="Arial" w:cs="Arial"/>
          <w:color w:val="000000" w:themeColor="text1"/>
        </w:rPr>
        <w:t xml:space="preserve">Respondents who would prefer a survey at around </w:t>
      </w:r>
      <w:r w:rsidRPr="3B59FF40">
        <w:rPr>
          <w:rFonts w:eastAsia="Arial" w:cs="Arial"/>
          <w:b/>
          <w:bCs/>
          <w:color w:val="000000" w:themeColor="text1"/>
        </w:rPr>
        <w:t xml:space="preserve">18 months </w:t>
      </w:r>
      <w:r w:rsidRPr="3B59FF40">
        <w:rPr>
          <w:rFonts w:eastAsia="Arial" w:cs="Arial"/>
          <w:color w:val="000000" w:themeColor="text1"/>
        </w:rPr>
        <w:t>post-graduation believe this would allow graduates to enter more genuine career destinations, rather than short-term employment. Similarly, it was expressed that this would allow graduates more time to enter the labour market.</w:t>
      </w:r>
    </w:p>
    <w:p w14:paraId="6A050FF9" w14:textId="77777777" w:rsidR="00C8184A" w:rsidRDefault="3B59FF40" w:rsidP="3B59FF40">
      <w:pPr>
        <w:pStyle w:val="ListParagraph"/>
        <w:numPr>
          <w:ilvl w:val="0"/>
          <w:numId w:val="3"/>
        </w:numPr>
        <w:autoSpaceDE w:val="0"/>
        <w:autoSpaceDN w:val="0"/>
        <w:adjustRightInd w:val="0"/>
        <w:spacing w:after="0" w:line="240" w:lineRule="auto"/>
        <w:rPr>
          <w:rFonts w:eastAsia="Arial" w:cs="Arial"/>
          <w:color w:val="000000"/>
        </w:rPr>
      </w:pPr>
      <w:r w:rsidRPr="3B59FF40">
        <w:rPr>
          <w:rFonts w:eastAsia="Arial" w:cs="Arial"/>
          <w:color w:val="000000" w:themeColor="text1"/>
        </w:rPr>
        <w:t xml:space="preserve">At </w:t>
      </w:r>
      <w:r w:rsidRPr="3B59FF40">
        <w:rPr>
          <w:rFonts w:eastAsia="Arial" w:cs="Arial"/>
          <w:b/>
          <w:bCs/>
          <w:color w:val="000000" w:themeColor="text1"/>
        </w:rPr>
        <w:t>24 months</w:t>
      </w:r>
      <w:r w:rsidRPr="3B59FF40">
        <w:rPr>
          <w:rFonts w:eastAsia="Arial" w:cs="Arial"/>
          <w:color w:val="000000" w:themeColor="text1"/>
        </w:rPr>
        <w:t>, the main benefit stated was the richer data possible at this stage. It was also highlighted that this timeframe would allow for more information about start-ups, which may not be captured at an earlier stage.</w:t>
      </w:r>
    </w:p>
    <w:p w14:paraId="5F42C216" w14:textId="77777777" w:rsidR="00C8184A" w:rsidRDefault="3B59FF40" w:rsidP="3B59FF40">
      <w:pPr>
        <w:pStyle w:val="ListParagraph"/>
        <w:numPr>
          <w:ilvl w:val="0"/>
          <w:numId w:val="3"/>
        </w:numPr>
        <w:autoSpaceDE w:val="0"/>
        <w:autoSpaceDN w:val="0"/>
        <w:adjustRightInd w:val="0"/>
        <w:spacing w:after="0" w:line="240" w:lineRule="auto"/>
        <w:rPr>
          <w:rFonts w:eastAsia="Arial" w:cs="Arial"/>
          <w:color w:val="000000"/>
        </w:rPr>
      </w:pPr>
      <w:r w:rsidRPr="3B59FF40">
        <w:rPr>
          <w:rFonts w:eastAsia="Arial" w:cs="Arial"/>
          <w:color w:val="000000" w:themeColor="text1"/>
        </w:rPr>
        <w:t xml:space="preserve">Benefits of a survey at </w:t>
      </w:r>
      <w:r w:rsidRPr="3B59FF40">
        <w:rPr>
          <w:rFonts w:eastAsia="Arial" w:cs="Arial"/>
          <w:b/>
          <w:bCs/>
          <w:color w:val="000000" w:themeColor="text1"/>
        </w:rPr>
        <w:t xml:space="preserve">36 months </w:t>
      </w:r>
      <w:r w:rsidRPr="3B59FF40">
        <w:rPr>
          <w:rFonts w:eastAsia="Arial" w:cs="Arial"/>
          <w:color w:val="000000" w:themeColor="text1"/>
        </w:rPr>
        <w:t>were focused on the time this would allow graduates to establish their career paths and that it would demonstrate a wider employment picture than an earlier survey date.</w:t>
      </w:r>
    </w:p>
    <w:p w14:paraId="280441DD" w14:textId="55D7980C" w:rsidR="00C8184A" w:rsidRPr="00F94CCE" w:rsidRDefault="3B59FF40" w:rsidP="005926F8">
      <w:pPr>
        <w:pStyle w:val="ListParagraph"/>
        <w:keepNext/>
        <w:numPr>
          <w:ilvl w:val="0"/>
          <w:numId w:val="3"/>
        </w:numPr>
        <w:autoSpaceDE w:val="0"/>
        <w:autoSpaceDN w:val="0"/>
        <w:adjustRightInd w:val="0"/>
        <w:spacing w:after="0" w:line="240" w:lineRule="auto"/>
      </w:pPr>
      <w:r w:rsidRPr="3B59FF40">
        <w:rPr>
          <w:rFonts w:eastAsia="Arial" w:cs="Arial"/>
          <w:color w:val="000000" w:themeColor="text1"/>
        </w:rPr>
        <w:lastRenderedPageBreak/>
        <w:t xml:space="preserve">One of the key arguments for moving to a </w:t>
      </w:r>
      <w:r w:rsidRPr="3B59FF40">
        <w:rPr>
          <w:rFonts w:eastAsia="Arial" w:cs="Arial"/>
          <w:b/>
          <w:bCs/>
          <w:color w:val="000000" w:themeColor="text1"/>
        </w:rPr>
        <w:t xml:space="preserve">48 months </w:t>
      </w:r>
      <w:r w:rsidRPr="3B59FF40">
        <w:rPr>
          <w:rFonts w:eastAsia="Arial" w:cs="Arial"/>
          <w:color w:val="000000" w:themeColor="text1"/>
        </w:rPr>
        <w:t>survey timing was that this allows for graduates to evaluate the impact of higher education dispassionately, which they may not be so able to do at an earlier stage</w:t>
      </w:r>
    </w:p>
    <w:p w14:paraId="5D1BBCB1" w14:textId="77777777" w:rsidR="00F94CCE" w:rsidRDefault="00F94CCE" w:rsidP="00F94CCE">
      <w:pPr>
        <w:pStyle w:val="Heading2"/>
      </w:pPr>
    </w:p>
    <w:p w14:paraId="0B55B76E" w14:textId="65F71056" w:rsidR="00C8184A" w:rsidRDefault="00C8184A" w:rsidP="00C8184A">
      <w:pPr>
        <w:keepNext/>
        <w:spacing w:after="0" w:line="240" w:lineRule="auto"/>
      </w:pPr>
    </w:p>
    <w:p w14:paraId="56869451" w14:textId="58CB4B25" w:rsidR="00F94CCE" w:rsidRDefault="3B59FF40" w:rsidP="00C8184A">
      <w:pPr>
        <w:pStyle w:val="Heading2"/>
      </w:pPr>
      <w:r>
        <w:t>Additional survey points</w:t>
      </w:r>
    </w:p>
    <w:p w14:paraId="747935C8" w14:textId="247066F5" w:rsidR="00F94CCE" w:rsidRPr="00F94CCE" w:rsidRDefault="3B59FF40" w:rsidP="00F94CCE">
      <w:r>
        <w:t>The consultation asked respondents whether we should have a single survey point, or multiple survey points.</w:t>
      </w:r>
    </w:p>
    <w:p w14:paraId="020231E3" w14:textId="5671D89D" w:rsidR="00C8184A" w:rsidRDefault="00C8184A" w:rsidP="00C8184A">
      <w:pPr>
        <w:pStyle w:val="Heading2"/>
      </w:pPr>
    </w:p>
    <w:p w14:paraId="1D88804D" w14:textId="77777777" w:rsidR="00F94CCE" w:rsidRDefault="00F94CCE" w:rsidP="00F94CCE">
      <w:pPr>
        <w:pStyle w:val="Caption"/>
      </w:pPr>
      <w:r>
        <w:rPr>
          <w:noProof/>
          <w:lang w:eastAsia="en-GB"/>
        </w:rPr>
        <w:drawing>
          <wp:inline distT="0" distB="0" distL="0" distR="0" wp14:anchorId="188FBDAE" wp14:editId="5D6C8C02">
            <wp:extent cx="4749800" cy="2794000"/>
            <wp:effectExtent l="0" t="0" r="12700" b="6350"/>
            <wp:docPr id="5" name="Chart 5">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E25016" w14:textId="0C543122" w:rsidR="00C8184A" w:rsidRDefault="00F94CCE" w:rsidP="00F94CCE">
      <w:pPr>
        <w:pStyle w:val="Caption"/>
      </w:pPr>
      <w:r>
        <w:t xml:space="preserve">Figure </w:t>
      </w:r>
      <w:fldSimple w:instr=" SEQ Figure \* ARABIC ">
        <w:r w:rsidR="00767BED">
          <w:rPr>
            <w:noProof/>
          </w:rPr>
          <w:t>3</w:t>
        </w:r>
      </w:fldSimple>
      <w:r>
        <w:t xml:space="preserve"> Responses to question 14</w:t>
      </w:r>
    </w:p>
    <w:p w14:paraId="2C5B2A5A" w14:textId="5FC4D1F7" w:rsidR="00F94CCE" w:rsidRDefault="00F94CCE" w:rsidP="00C8184A">
      <w:pPr>
        <w:pStyle w:val="Caption"/>
      </w:pPr>
      <w:r>
        <w:rPr>
          <w:noProof/>
          <w:lang w:eastAsia="en-GB"/>
        </w:rPr>
        <w:drawing>
          <wp:inline distT="0" distB="0" distL="0" distR="0" wp14:anchorId="1CB7E71F" wp14:editId="29A795B9">
            <wp:extent cx="4505325" cy="3162300"/>
            <wp:effectExtent l="0" t="0" r="9525" b="0"/>
            <wp:docPr id="1" name="Chart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2729EC" w14:textId="26039640" w:rsidR="00C8184A" w:rsidRDefault="00C8184A" w:rsidP="00C8184A">
      <w:pPr>
        <w:pStyle w:val="Caption"/>
      </w:pPr>
      <w:r>
        <w:lastRenderedPageBreak/>
        <w:t xml:space="preserve">Figure </w:t>
      </w:r>
      <w:fldSimple w:instr=" SEQ Figure \* ARABIC ">
        <w:r w:rsidR="00767BED">
          <w:rPr>
            <w:noProof/>
          </w:rPr>
          <w:t>4</w:t>
        </w:r>
      </w:fldSimple>
      <w:r>
        <w:t xml:space="preserve"> Responses to question 14, by question two</w:t>
      </w:r>
    </w:p>
    <w:p w14:paraId="567FF29D" w14:textId="5F371970" w:rsidR="00C8184A" w:rsidRDefault="3B59FF40" w:rsidP="00C8184A">
      <w:pPr>
        <w:autoSpaceDE w:val="0"/>
        <w:autoSpaceDN w:val="0"/>
        <w:adjustRightInd w:val="0"/>
        <w:spacing w:after="0" w:line="240" w:lineRule="auto"/>
        <w:rPr>
          <w:rFonts w:cs="Arial"/>
        </w:rPr>
      </w:pPr>
      <w:r w:rsidRPr="3B59FF40">
        <w:rPr>
          <w:rFonts w:eastAsia="Arial" w:cs="Arial"/>
        </w:rPr>
        <w:t>While the majority of respondents are in favour of a single survey point, the free-text answers did</w:t>
      </w:r>
    </w:p>
    <w:p w14:paraId="058B4D80" w14:textId="77777777" w:rsidR="00C8184A" w:rsidRDefault="3B59FF40" w:rsidP="00C8184A">
      <w:pPr>
        <w:autoSpaceDE w:val="0"/>
        <w:autoSpaceDN w:val="0"/>
        <w:adjustRightInd w:val="0"/>
        <w:spacing w:after="0" w:line="240" w:lineRule="auto"/>
        <w:rPr>
          <w:rFonts w:cs="Arial"/>
        </w:rPr>
      </w:pPr>
      <w:r w:rsidRPr="3B59FF40">
        <w:rPr>
          <w:rFonts w:eastAsia="Arial" w:cs="Arial"/>
        </w:rPr>
        <w:t>not provide many reasons for choosing a single survey point. However, respondents did express</w:t>
      </w:r>
    </w:p>
    <w:p w14:paraId="4C28EBFC" w14:textId="77777777" w:rsidR="00C8184A" w:rsidRDefault="3B59FF40" w:rsidP="00C8184A">
      <w:pPr>
        <w:autoSpaceDE w:val="0"/>
        <w:autoSpaceDN w:val="0"/>
        <w:adjustRightInd w:val="0"/>
        <w:spacing w:after="0" w:line="240" w:lineRule="auto"/>
        <w:rPr>
          <w:rFonts w:cs="Arial"/>
        </w:rPr>
      </w:pPr>
      <w:r w:rsidRPr="3B59FF40">
        <w:rPr>
          <w:rFonts w:eastAsia="Arial" w:cs="Arial"/>
        </w:rPr>
        <w:t>concerns about multiple survey points, particularly that graduates may become oversurveyed,</w:t>
      </w:r>
    </w:p>
    <w:p w14:paraId="58F1FD22" w14:textId="77777777" w:rsidR="00C8184A" w:rsidRDefault="3B59FF40" w:rsidP="00C8184A">
      <w:pPr>
        <w:autoSpaceDE w:val="0"/>
        <w:autoSpaceDN w:val="0"/>
        <w:adjustRightInd w:val="0"/>
        <w:spacing w:after="0" w:line="240" w:lineRule="auto"/>
        <w:rPr>
          <w:rFonts w:cs="Arial"/>
        </w:rPr>
      </w:pPr>
      <w:r w:rsidRPr="3B59FF40">
        <w:rPr>
          <w:rFonts w:eastAsia="Arial" w:cs="Arial"/>
        </w:rPr>
        <w:t>causing survey fatigue and drop-outs. Concerns were raised that if multiple surveys were used,</w:t>
      </w:r>
    </w:p>
    <w:p w14:paraId="5688F258" w14:textId="77777777" w:rsidR="00C8184A" w:rsidRDefault="3B59FF40" w:rsidP="00C8184A">
      <w:pPr>
        <w:autoSpaceDE w:val="0"/>
        <w:autoSpaceDN w:val="0"/>
        <w:adjustRightInd w:val="0"/>
        <w:spacing w:after="0" w:line="240" w:lineRule="auto"/>
        <w:rPr>
          <w:rFonts w:cs="Arial"/>
        </w:rPr>
      </w:pPr>
      <w:r w:rsidRPr="3B59FF40">
        <w:rPr>
          <w:rFonts w:eastAsia="Arial" w:cs="Arial"/>
        </w:rPr>
        <w:t>there was potential to survey graduates more than once in short succession if they had gone on to further study.</w:t>
      </w:r>
    </w:p>
    <w:p w14:paraId="5EC5F082" w14:textId="77777777" w:rsidR="00C8184A" w:rsidRDefault="00C8184A" w:rsidP="00C8184A">
      <w:pPr>
        <w:autoSpaceDE w:val="0"/>
        <w:autoSpaceDN w:val="0"/>
        <w:adjustRightInd w:val="0"/>
        <w:spacing w:after="0" w:line="240" w:lineRule="auto"/>
        <w:rPr>
          <w:rFonts w:cs="Arial"/>
        </w:rPr>
      </w:pPr>
    </w:p>
    <w:p w14:paraId="6AA8A38F" w14:textId="77777777" w:rsidR="00C8184A" w:rsidRDefault="3B59FF40" w:rsidP="00C8184A">
      <w:pPr>
        <w:autoSpaceDE w:val="0"/>
        <w:autoSpaceDN w:val="0"/>
        <w:adjustRightInd w:val="0"/>
        <w:spacing w:after="0" w:line="240" w:lineRule="auto"/>
        <w:rPr>
          <w:rFonts w:cs="Arial"/>
        </w:rPr>
      </w:pPr>
      <w:r w:rsidRPr="3B59FF40">
        <w:rPr>
          <w:rFonts w:eastAsia="Arial" w:cs="Arial"/>
        </w:rPr>
        <w:t>However, respondents in favour of multiple survey points noted a number of benefits, including that careers develop at different paces in different sectors, and multiple survey points could allow</w:t>
      </w:r>
    </w:p>
    <w:p w14:paraId="62979A36" w14:textId="77777777" w:rsidR="00C8184A" w:rsidRDefault="3B59FF40" w:rsidP="00C8184A">
      <w:pPr>
        <w:autoSpaceDE w:val="0"/>
        <w:autoSpaceDN w:val="0"/>
        <w:adjustRightInd w:val="0"/>
        <w:spacing w:after="0" w:line="240" w:lineRule="auto"/>
        <w:rPr>
          <w:rFonts w:cs="Arial"/>
        </w:rPr>
      </w:pPr>
      <w:r w:rsidRPr="3B59FF40">
        <w:rPr>
          <w:rFonts w:eastAsia="Arial" w:cs="Arial"/>
        </w:rPr>
        <w:t>tracking different cohorts at different times. Another benefit is it would allow for tracking career</w:t>
      </w:r>
    </w:p>
    <w:p w14:paraId="6D03EDB8" w14:textId="77777777" w:rsidR="00C8184A" w:rsidRDefault="3B59FF40" w:rsidP="00C8184A">
      <w:pPr>
        <w:autoSpaceDE w:val="0"/>
        <w:autoSpaceDN w:val="0"/>
        <w:adjustRightInd w:val="0"/>
        <w:spacing w:after="0" w:line="240" w:lineRule="auto"/>
        <w:rPr>
          <w:rFonts w:cs="Arial"/>
        </w:rPr>
      </w:pPr>
      <w:r w:rsidRPr="3B59FF40">
        <w:rPr>
          <w:rFonts w:eastAsia="Arial" w:cs="Arial"/>
        </w:rPr>
        <w:t>trajectories over time and better capture portfolio careers. Similarly, one HE provider expressed the benefit of having evidence of how quickly students of different subjects move into long term</w:t>
      </w:r>
    </w:p>
    <w:p w14:paraId="4AC39F75" w14:textId="77777777" w:rsidR="00C8184A" w:rsidRDefault="3B59FF40" w:rsidP="00C8184A">
      <w:pPr>
        <w:autoSpaceDE w:val="0"/>
        <w:autoSpaceDN w:val="0"/>
        <w:adjustRightInd w:val="0"/>
        <w:spacing w:after="0" w:line="240" w:lineRule="auto"/>
        <w:rPr>
          <w:rFonts w:cs="Arial"/>
        </w:rPr>
      </w:pPr>
      <w:r w:rsidRPr="3B59FF40">
        <w:rPr>
          <w:rFonts w:eastAsia="Arial" w:cs="Arial"/>
        </w:rPr>
        <w:t>careers.</w:t>
      </w:r>
    </w:p>
    <w:p w14:paraId="4DC92FD5" w14:textId="77777777" w:rsidR="00C8184A" w:rsidRDefault="00C8184A" w:rsidP="00C8184A">
      <w:pPr>
        <w:autoSpaceDE w:val="0"/>
        <w:autoSpaceDN w:val="0"/>
        <w:adjustRightInd w:val="0"/>
        <w:spacing w:after="0" w:line="240" w:lineRule="auto"/>
        <w:rPr>
          <w:rFonts w:cs="Arial"/>
        </w:rPr>
      </w:pPr>
    </w:p>
    <w:p w14:paraId="4E8D9B8C" w14:textId="1719CE59" w:rsidR="00F94CCE" w:rsidRPr="00767BED" w:rsidRDefault="3B59FF40" w:rsidP="00C8184A">
      <w:pPr>
        <w:autoSpaceDE w:val="0"/>
        <w:autoSpaceDN w:val="0"/>
        <w:adjustRightInd w:val="0"/>
        <w:spacing w:after="0" w:line="240" w:lineRule="auto"/>
        <w:rPr>
          <w:rFonts w:cs="Arial"/>
        </w:rPr>
      </w:pPr>
      <w:r w:rsidRPr="3B59FF40">
        <w:rPr>
          <w:rFonts w:eastAsia="Arial" w:cs="Arial"/>
        </w:rPr>
        <w:t>Respondents also expressed some practical benefits of using multiple survey points. One of these was that it would allow for graduate contact details to be updated, potentially leading to higher response rates over time. Respondents also highlighted that multiple surveys may help cope with smaller sample sizes.</w:t>
      </w:r>
    </w:p>
    <w:p w14:paraId="2984FA64" w14:textId="1829D0CE" w:rsidR="00F94CCE" w:rsidRPr="00F94CCE" w:rsidRDefault="00F94CCE" w:rsidP="3B59FF40">
      <w:pPr>
        <w:pStyle w:val="Heading2"/>
      </w:pPr>
    </w:p>
    <w:p w14:paraId="4E4229BC" w14:textId="57F08333" w:rsidR="00F94CCE" w:rsidRPr="00F94CCE" w:rsidRDefault="3B59FF40" w:rsidP="3B59FF40">
      <w:pPr>
        <w:pStyle w:val="Heading2"/>
      </w:pPr>
      <w:r>
        <w:t>Questions for the working group</w:t>
      </w:r>
    </w:p>
    <w:p w14:paraId="08903FB2" w14:textId="6C75D3F3" w:rsidR="00F94CCE" w:rsidRPr="00F94CCE" w:rsidRDefault="3B59FF40" w:rsidP="3B59FF40">
      <w:pPr>
        <w:pStyle w:val="ListParagraph"/>
        <w:numPr>
          <w:ilvl w:val="0"/>
          <w:numId w:val="4"/>
        </w:numPr>
      </w:pPr>
      <w:r>
        <w:t>What are the pros and cons of a 12 months survey point?</w:t>
      </w:r>
    </w:p>
    <w:p w14:paraId="6F7C7536" w14:textId="142AF4DB" w:rsidR="00F94CCE" w:rsidRPr="00F94CCE" w:rsidRDefault="3B59FF40" w:rsidP="3B59FF40">
      <w:pPr>
        <w:pStyle w:val="ListParagraph"/>
        <w:numPr>
          <w:ilvl w:val="0"/>
          <w:numId w:val="4"/>
        </w:numPr>
      </w:pPr>
      <w:r>
        <w:t>What are the pros and cons of a 18 months survey point?</w:t>
      </w:r>
    </w:p>
    <w:p w14:paraId="0A62E89C" w14:textId="0667F096" w:rsidR="00F94CCE" w:rsidRPr="00F94CCE" w:rsidRDefault="3B59FF40" w:rsidP="3B59FF40">
      <w:pPr>
        <w:pStyle w:val="ListParagraph"/>
        <w:numPr>
          <w:ilvl w:val="0"/>
          <w:numId w:val="4"/>
        </w:numPr>
      </w:pPr>
      <w:r>
        <w:t>What are the pros and cons of a survey point between 12 and 18 months?</w:t>
      </w:r>
    </w:p>
    <w:p w14:paraId="5D8776AD" w14:textId="7C699392" w:rsidR="00F94CCE" w:rsidRPr="00F94CCE" w:rsidRDefault="3B59FF40" w:rsidP="3B59FF40">
      <w:pPr>
        <w:pStyle w:val="ListParagraph"/>
        <w:numPr>
          <w:ilvl w:val="0"/>
          <w:numId w:val="4"/>
        </w:numPr>
      </w:pPr>
      <w:r>
        <w:t>What are the key factors we need to take into account with regards to other surveys on the platform, besides a single census?</w:t>
      </w:r>
    </w:p>
    <w:sectPr w:rsidR="00F94CCE" w:rsidRPr="00F94CCE" w:rsidSect="000D4D40">
      <w:footerReference w:type="default" r:id="rId15"/>
      <w:headerReference w:type="first" r:id="rId16"/>
      <w:footerReference w:type="first" r:id="rId17"/>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11F6" w14:textId="77777777" w:rsidR="00C8184A" w:rsidRDefault="00C8184A" w:rsidP="002256A3">
      <w:pPr>
        <w:spacing w:after="0" w:line="240" w:lineRule="auto"/>
      </w:pPr>
      <w:r>
        <w:separator/>
      </w:r>
    </w:p>
  </w:endnote>
  <w:endnote w:type="continuationSeparator" w:id="0">
    <w:p w14:paraId="2957AC99" w14:textId="77777777" w:rsidR="00C8184A" w:rsidRDefault="00C8184A" w:rsidP="0022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6D96AFE5" w14:textId="77777777" w:rsidTr="3B59FF40">
      <w:trPr>
        <w:trHeight w:val="340"/>
      </w:trPr>
      <w:tc>
        <w:tcPr>
          <w:tcW w:w="7938" w:type="dxa"/>
        </w:tcPr>
        <w:p w14:paraId="47FD147D" w14:textId="77777777" w:rsidR="00F105DB" w:rsidRDefault="00BA3077" w:rsidP="00BA3077">
          <w:pPr>
            <w:pStyle w:val="Body-text"/>
            <w:rPr>
              <w:noProof/>
              <w:lang w:eastAsia="en-GB"/>
            </w:rPr>
          </w:pPr>
          <w:r>
            <w:rPr>
              <w:noProof/>
              <w:lang w:eastAsia="en-GB"/>
            </w:rPr>
            <w:drawing>
              <wp:inline distT="0" distB="0" distL="0" distR="0" wp14:anchorId="4B6B32FF" wp14:editId="6A904AE2">
                <wp:extent cx="1483200" cy="7200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5307CED5" w14:textId="77777777" w:rsidR="00F105DB" w:rsidRPr="002256A3" w:rsidRDefault="00F105DB" w:rsidP="00265129">
          <w:pPr>
            <w:pStyle w:val="Body-text"/>
          </w:pPr>
        </w:p>
      </w:tc>
    </w:tr>
    <w:tr w:rsidR="00F105DB" w14:paraId="75B1950A" w14:textId="77777777" w:rsidTr="3B59FF40">
      <w:tc>
        <w:tcPr>
          <w:tcW w:w="7938" w:type="dxa"/>
          <w:vAlign w:val="bottom"/>
        </w:tcPr>
        <w:p w14:paraId="48E6E152" w14:textId="77777777" w:rsidR="00F105DB" w:rsidRPr="004F3C0F" w:rsidRDefault="3B59FF40" w:rsidP="004F3C0F">
          <w:pPr>
            <w:rPr>
              <w:rFonts w:cs="Arial"/>
              <w:sz w:val="12"/>
              <w:szCs w:val="12"/>
            </w:rPr>
          </w:pPr>
          <w:r w:rsidRPr="3B59FF40">
            <w:rPr>
              <w:rFonts w:eastAsia="Arial" w:cs="Arial"/>
              <w:sz w:val="12"/>
              <w:szCs w:val="12"/>
            </w:rPr>
            <w:t>Higher Education Statistics Agency Limited is a company limited by guarantee, registered in England at 95 Promenade, Cheltenham, GL50 1HZ. Registered No. 02766993.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5C5EEDD0" w14:textId="2493965B" w:rsidR="009C2BE9" w:rsidRDefault="3B59FF40" w:rsidP="004F3C0F">
              <w:pPr>
                <w:pStyle w:val="Footnote"/>
                <w:jc w:val="right"/>
              </w:pPr>
              <w:r>
                <w:t xml:space="preserve">Page </w:t>
              </w:r>
              <w:r w:rsidR="009C2BE9" w:rsidRPr="3B59FF40">
                <w:rPr>
                  <w:noProof/>
                </w:rPr>
                <w:fldChar w:fldCharType="begin"/>
              </w:r>
              <w:r w:rsidR="009C2BE9" w:rsidRPr="3B59FF40">
                <w:rPr>
                  <w:noProof/>
                </w:rPr>
                <w:instrText xml:space="preserve"> PAGE </w:instrText>
              </w:r>
              <w:r w:rsidR="009C2BE9" w:rsidRPr="3B59FF40">
                <w:rPr>
                  <w:noProof/>
                </w:rPr>
                <w:fldChar w:fldCharType="separate"/>
              </w:r>
              <w:r w:rsidR="00767BED">
                <w:rPr>
                  <w:noProof/>
                </w:rPr>
                <w:t>2</w:t>
              </w:r>
              <w:r w:rsidR="009C2BE9" w:rsidRPr="3B59FF40">
                <w:rPr>
                  <w:noProof/>
                </w:rPr>
                <w:fldChar w:fldCharType="end"/>
              </w:r>
              <w:r>
                <w:t xml:space="preserve"> of </w:t>
              </w:r>
              <w:r w:rsidR="009C2BE9" w:rsidRPr="3B59FF40">
                <w:rPr>
                  <w:noProof/>
                </w:rPr>
                <w:fldChar w:fldCharType="begin"/>
              </w:r>
              <w:r w:rsidR="009C2BE9" w:rsidRPr="3B59FF40">
                <w:rPr>
                  <w:noProof/>
                </w:rPr>
                <w:instrText xml:space="preserve"> NUMPAGES  </w:instrText>
              </w:r>
              <w:r w:rsidR="009C2BE9" w:rsidRPr="3B59FF40">
                <w:rPr>
                  <w:noProof/>
                </w:rPr>
                <w:fldChar w:fldCharType="separate"/>
              </w:r>
              <w:r w:rsidR="00767BED">
                <w:rPr>
                  <w:noProof/>
                </w:rPr>
                <w:t>4</w:t>
              </w:r>
              <w:r w:rsidR="009C2BE9" w:rsidRPr="3B59FF40">
                <w:rPr>
                  <w:noProof/>
                </w:rPr>
                <w:fldChar w:fldCharType="end"/>
              </w:r>
            </w:p>
            <w:p w14:paraId="40D63B66" w14:textId="77777777" w:rsidR="00F105DB" w:rsidRDefault="00767BED" w:rsidP="004F3C0F">
              <w:pPr>
                <w:pStyle w:val="Footnote"/>
                <w:jc w:val="right"/>
              </w:pPr>
            </w:p>
          </w:sdtContent>
        </w:sdt>
        <w:p w14:paraId="4B3822E7" w14:textId="77777777" w:rsidR="3B59FF40" w:rsidRDefault="3B59FF40"/>
      </w:tc>
    </w:tr>
    <w:tr w:rsidR="00656CE1" w14:paraId="415E8A15" w14:textId="77777777" w:rsidTr="3B59FF40">
      <w:tc>
        <w:tcPr>
          <w:tcW w:w="9962" w:type="dxa"/>
          <w:gridSpan w:val="2"/>
          <w:vAlign w:val="bottom"/>
        </w:tcPr>
        <w:p w14:paraId="38AF8A6F" w14:textId="038EC729" w:rsidR="00656CE1" w:rsidRDefault="00767BED" w:rsidP="004F3C0F">
          <w:pPr>
            <w:pStyle w:val="Footnote"/>
            <w:jc w:val="right"/>
          </w:pPr>
          <w:r>
            <w:fldChar w:fldCharType="begin"/>
          </w:r>
          <w:r>
            <w:instrText xml:space="preserve"> FILENAME  \* FirstCap  \* MERGEFORMAT </w:instrText>
          </w:r>
          <w:r>
            <w:fldChar w:fldCharType="separate"/>
          </w:r>
          <w:r>
            <w:rPr>
              <w:noProof/>
            </w:rPr>
            <w:t>WG4_Paper6_Timescales.docx</w:t>
          </w:r>
          <w:r>
            <w:rPr>
              <w:noProof/>
            </w:rPr>
            <w:fldChar w:fldCharType="end"/>
          </w:r>
        </w:p>
      </w:tc>
    </w:tr>
  </w:tbl>
  <w:p w14:paraId="62E42596" w14:textId="77777777" w:rsidR="002256A3" w:rsidRPr="00265129" w:rsidRDefault="002256A3" w:rsidP="00265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A3A84" w:rsidRPr="002256A3" w14:paraId="24191576" w14:textId="77777777" w:rsidTr="3B59FF40">
      <w:trPr>
        <w:trHeight w:val="340"/>
      </w:trPr>
      <w:tc>
        <w:tcPr>
          <w:tcW w:w="7938" w:type="dxa"/>
        </w:tcPr>
        <w:p w14:paraId="3D992EF6" w14:textId="77777777" w:rsidR="007A3A84" w:rsidRDefault="007A3A84" w:rsidP="007A3A84">
          <w:pPr>
            <w:pStyle w:val="Body-text"/>
            <w:rPr>
              <w:noProof/>
              <w:lang w:eastAsia="en-GB"/>
            </w:rPr>
          </w:pPr>
          <w:r>
            <w:rPr>
              <w:noProof/>
              <w:lang w:eastAsia="en-GB"/>
            </w:rPr>
            <w:drawing>
              <wp:inline distT="0" distB="0" distL="0" distR="0" wp14:anchorId="55844C63" wp14:editId="4F73601C">
                <wp:extent cx="1483200" cy="72000"/>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38AB70F4" w14:textId="77777777" w:rsidR="007A3A84" w:rsidRPr="002256A3" w:rsidRDefault="007A3A84" w:rsidP="007A3A84">
          <w:pPr>
            <w:pStyle w:val="Body-text"/>
          </w:pPr>
        </w:p>
      </w:tc>
    </w:tr>
    <w:tr w:rsidR="007A3A84" w14:paraId="0B47CC24" w14:textId="77777777" w:rsidTr="3B59FF40">
      <w:tc>
        <w:tcPr>
          <w:tcW w:w="7938" w:type="dxa"/>
          <w:vAlign w:val="bottom"/>
        </w:tcPr>
        <w:p w14:paraId="71591B05" w14:textId="77777777" w:rsidR="007A3A84" w:rsidRPr="004F3C0F" w:rsidRDefault="3B59FF40" w:rsidP="007A3A84">
          <w:pPr>
            <w:rPr>
              <w:rFonts w:cs="Arial"/>
              <w:sz w:val="12"/>
              <w:szCs w:val="12"/>
            </w:rPr>
          </w:pPr>
          <w:r w:rsidRPr="3B59FF40">
            <w:rPr>
              <w:rFonts w:eastAsia="Arial" w:cs="Arial"/>
              <w:sz w:val="12"/>
              <w:szCs w:val="12"/>
            </w:rPr>
            <w:t>Higher Education Statistics Agency Limited is a company limited by guarantee, registered in England at 95 Promenade, Cheltenham, GL50 1HZ. Registered No. 02766993. Registered Charity No. 1039709. Certified to ISO 27001. The members are Universities UK and GuildHE.</w:t>
          </w:r>
        </w:p>
      </w:tc>
      <w:tc>
        <w:tcPr>
          <w:tcW w:w="2024" w:type="dxa"/>
          <w:tcMar>
            <w:left w:w="0" w:type="dxa"/>
            <w:right w:w="0" w:type="dxa"/>
          </w:tcMar>
        </w:tcPr>
        <w:sdt>
          <w:sdtPr>
            <w:id w:val="-139185191"/>
            <w:docPartObj>
              <w:docPartGallery w:val="Page Numbers (Top of Page)"/>
              <w:docPartUnique/>
            </w:docPartObj>
          </w:sdtPr>
          <w:sdtEndPr/>
          <w:sdtContent>
            <w:p w14:paraId="026E6FC7" w14:textId="07BB17BD" w:rsidR="007A3A84" w:rsidRDefault="3B59FF40" w:rsidP="007A3A84">
              <w:pPr>
                <w:pStyle w:val="Footnote"/>
                <w:jc w:val="right"/>
              </w:pPr>
              <w:r>
                <w:t xml:space="preserve">Page </w:t>
              </w:r>
              <w:r w:rsidR="007A3A84" w:rsidRPr="3B59FF40">
                <w:rPr>
                  <w:noProof/>
                </w:rPr>
                <w:fldChar w:fldCharType="begin"/>
              </w:r>
              <w:r w:rsidR="007A3A84" w:rsidRPr="3B59FF40">
                <w:rPr>
                  <w:noProof/>
                </w:rPr>
                <w:instrText xml:space="preserve"> PAGE </w:instrText>
              </w:r>
              <w:r w:rsidR="007A3A84" w:rsidRPr="3B59FF40">
                <w:rPr>
                  <w:noProof/>
                </w:rPr>
                <w:fldChar w:fldCharType="separate"/>
              </w:r>
              <w:r w:rsidR="00767BED">
                <w:rPr>
                  <w:noProof/>
                </w:rPr>
                <w:t>1</w:t>
              </w:r>
              <w:r w:rsidR="007A3A84" w:rsidRPr="3B59FF40">
                <w:rPr>
                  <w:noProof/>
                </w:rPr>
                <w:fldChar w:fldCharType="end"/>
              </w:r>
              <w:r>
                <w:t xml:space="preserve"> of </w:t>
              </w:r>
              <w:r w:rsidR="007A3A84" w:rsidRPr="3B59FF40">
                <w:rPr>
                  <w:noProof/>
                </w:rPr>
                <w:fldChar w:fldCharType="begin"/>
              </w:r>
              <w:r w:rsidR="007A3A84" w:rsidRPr="3B59FF40">
                <w:rPr>
                  <w:noProof/>
                </w:rPr>
                <w:instrText xml:space="preserve"> NUMPAGES  </w:instrText>
              </w:r>
              <w:r w:rsidR="007A3A84" w:rsidRPr="3B59FF40">
                <w:rPr>
                  <w:noProof/>
                </w:rPr>
                <w:fldChar w:fldCharType="separate"/>
              </w:r>
              <w:r w:rsidR="00767BED">
                <w:rPr>
                  <w:noProof/>
                </w:rPr>
                <w:t>4</w:t>
              </w:r>
              <w:r w:rsidR="007A3A84" w:rsidRPr="3B59FF40">
                <w:rPr>
                  <w:noProof/>
                </w:rPr>
                <w:fldChar w:fldCharType="end"/>
              </w:r>
            </w:p>
            <w:p w14:paraId="61C2DA91" w14:textId="77777777" w:rsidR="007A3A84" w:rsidRDefault="00767BED" w:rsidP="007A3A84">
              <w:pPr>
                <w:pStyle w:val="Footnote"/>
                <w:jc w:val="right"/>
              </w:pPr>
            </w:p>
          </w:sdtContent>
        </w:sdt>
        <w:p w14:paraId="4AF13E16" w14:textId="77777777" w:rsidR="3B59FF40" w:rsidRDefault="3B59FF40"/>
      </w:tc>
    </w:tr>
    <w:tr w:rsidR="00656CE1" w14:paraId="314E5C9D" w14:textId="77777777" w:rsidTr="3B59FF40">
      <w:tc>
        <w:tcPr>
          <w:tcW w:w="9962" w:type="dxa"/>
          <w:gridSpan w:val="2"/>
          <w:vAlign w:val="bottom"/>
        </w:tcPr>
        <w:p w14:paraId="5C6F34ED" w14:textId="06D64E79" w:rsidR="00656CE1" w:rsidRDefault="00767BED" w:rsidP="007A3A84">
          <w:pPr>
            <w:pStyle w:val="Footnote"/>
            <w:jc w:val="right"/>
          </w:pPr>
          <w:r>
            <w:fldChar w:fldCharType="begin"/>
          </w:r>
          <w:r>
            <w:instrText xml:space="preserve"> FILENAME  \* FirstCap  \* MERGEFORMAT </w:instrText>
          </w:r>
          <w:r>
            <w:fldChar w:fldCharType="separate"/>
          </w:r>
          <w:r>
            <w:rPr>
              <w:noProof/>
            </w:rPr>
            <w:t>WG4_Paper6_Timescales.docx</w:t>
          </w:r>
          <w:r>
            <w:rPr>
              <w:noProof/>
            </w:rPr>
            <w:fldChar w:fldCharType="end"/>
          </w:r>
        </w:p>
      </w:tc>
    </w:tr>
  </w:tbl>
  <w:p w14:paraId="2643B7D2" w14:textId="77777777" w:rsidR="007A3A84" w:rsidRDefault="007A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155A" w14:textId="77777777" w:rsidR="00C8184A" w:rsidRDefault="00C8184A" w:rsidP="002256A3">
      <w:pPr>
        <w:spacing w:after="0" w:line="240" w:lineRule="auto"/>
      </w:pPr>
      <w:r>
        <w:separator/>
      </w:r>
    </w:p>
  </w:footnote>
  <w:footnote w:type="continuationSeparator" w:id="0">
    <w:p w14:paraId="07FA8351" w14:textId="77777777" w:rsidR="00C8184A" w:rsidRDefault="00C8184A" w:rsidP="0022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2C14" w14:textId="77777777" w:rsidR="004F3C0F" w:rsidRDefault="00894B0C">
    <w:pPr>
      <w:pStyle w:val="Header"/>
    </w:pPr>
    <w:r>
      <w:rPr>
        <w:noProof/>
        <w:lang w:eastAsia="en-GB"/>
      </w:rPr>
      <w:drawing>
        <wp:anchor distT="0" distB="0" distL="114300" distR="114300" simplePos="0" relativeHeight="251660288" behindDoc="0" locked="1" layoutInCell="1" allowOverlap="0" wp14:anchorId="3C95AFAC" wp14:editId="55811EB8">
          <wp:simplePos x="0" y="0"/>
          <wp:positionH relativeFrom="margin">
            <wp:align>right</wp:align>
          </wp:positionH>
          <wp:positionV relativeFrom="page">
            <wp:posOffset>540385</wp:posOffset>
          </wp:positionV>
          <wp:extent cx="1476000" cy="5832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B68"/>
    <w:multiLevelType w:val="hybridMultilevel"/>
    <w:tmpl w:val="9B9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921F0"/>
    <w:multiLevelType w:val="hybridMultilevel"/>
    <w:tmpl w:val="5F0CC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D42AC3"/>
    <w:multiLevelType w:val="hybridMultilevel"/>
    <w:tmpl w:val="7706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74648"/>
    <w:multiLevelType w:val="hybridMultilevel"/>
    <w:tmpl w:val="004E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348C1"/>
    <w:multiLevelType w:val="hybridMultilevel"/>
    <w:tmpl w:val="C944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262"/>
    <w:multiLevelType w:val="hybridMultilevel"/>
    <w:tmpl w:val="5D9C8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4A"/>
    <w:rsid w:val="000D4D40"/>
    <w:rsid w:val="00106018"/>
    <w:rsid w:val="0014008D"/>
    <w:rsid w:val="00163CAF"/>
    <w:rsid w:val="0017193E"/>
    <w:rsid w:val="001871D4"/>
    <w:rsid w:val="00192304"/>
    <w:rsid w:val="001A094A"/>
    <w:rsid w:val="001B4F29"/>
    <w:rsid w:val="001C412B"/>
    <w:rsid w:val="002256A3"/>
    <w:rsid w:val="002611C2"/>
    <w:rsid w:val="00265129"/>
    <w:rsid w:val="00282CFC"/>
    <w:rsid w:val="002E336F"/>
    <w:rsid w:val="0030130C"/>
    <w:rsid w:val="00334793"/>
    <w:rsid w:val="003F352C"/>
    <w:rsid w:val="004028CD"/>
    <w:rsid w:val="00412F5F"/>
    <w:rsid w:val="00463606"/>
    <w:rsid w:val="00475EAC"/>
    <w:rsid w:val="00482F67"/>
    <w:rsid w:val="004F3C0F"/>
    <w:rsid w:val="00522CDC"/>
    <w:rsid w:val="005A203B"/>
    <w:rsid w:val="005F6046"/>
    <w:rsid w:val="006060CB"/>
    <w:rsid w:val="00644FE1"/>
    <w:rsid w:val="00654475"/>
    <w:rsid w:val="00656CE1"/>
    <w:rsid w:val="006A6182"/>
    <w:rsid w:val="006A7BB6"/>
    <w:rsid w:val="006D0CFF"/>
    <w:rsid w:val="007141E3"/>
    <w:rsid w:val="00720D86"/>
    <w:rsid w:val="00741E7B"/>
    <w:rsid w:val="00745C92"/>
    <w:rsid w:val="00767BED"/>
    <w:rsid w:val="007A3A84"/>
    <w:rsid w:val="00807BF1"/>
    <w:rsid w:val="008173F7"/>
    <w:rsid w:val="00894B0C"/>
    <w:rsid w:val="008A043B"/>
    <w:rsid w:val="008B2219"/>
    <w:rsid w:val="008C5063"/>
    <w:rsid w:val="008D09DD"/>
    <w:rsid w:val="009A0718"/>
    <w:rsid w:val="009C2BE9"/>
    <w:rsid w:val="00A34F7F"/>
    <w:rsid w:val="00AD20E5"/>
    <w:rsid w:val="00AD2A27"/>
    <w:rsid w:val="00BA3077"/>
    <w:rsid w:val="00BA4350"/>
    <w:rsid w:val="00BA45FC"/>
    <w:rsid w:val="00BC5116"/>
    <w:rsid w:val="00BD6F8F"/>
    <w:rsid w:val="00C13364"/>
    <w:rsid w:val="00C179FD"/>
    <w:rsid w:val="00C562E3"/>
    <w:rsid w:val="00C56363"/>
    <w:rsid w:val="00C64BBE"/>
    <w:rsid w:val="00C8184A"/>
    <w:rsid w:val="00CA2CF9"/>
    <w:rsid w:val="00D26A15"/>
    <w:rsid w:val="00D46C5D"/>
    <w:rsid w:val="00D52207"/>
    <w:rsid w:val="00D94B02"/>
    <w:rsid w:val="00DA4040"/>
    <w:rsid w:val="00DB046F"/>
    <w:rsid w:val="00DE5B2E"/>
    <w:rsid w:val="00E67A3A"/>
    <w:rsid w:val="00E77B91"/>
    <w:rsid w:val="00E84FBA"/>
    <w:rsid w:val="00EB6CF9"/>
    <w:rsid w:val="00F105DB"/>
    <w:rsid w:val="00F94CCE"/>
    <w:rsid w:val="00FA1C87"/>
    <w:rsid w:val="00FE5921"/>
    <w:rsid w:val="00FF3199"/>
    <w:rsid w:val="3B59F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88444"/>
  <w15:chartTrackingRefBased/>
  <w15:docId w15:val="{AD1F6A65-94DF-4105-9EBC-16418384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E5B2E"/>
    <w:rPr>
      <w:rFonts w:ascii="Arial" w:hAnsi="Arial"/>
    </w:rPr>
  </w:style>
  <w:style w:type="paragraph" w:styleId="Heading1">
    <w:name w:val="heading 1"/>
    <w:basedOn w:val="Normal"/>
    <w:next w:val="Normal"/>
    <w:link w:val="Heading1Char"/>
    <w:uiPriority w:val="9"/>
    <w:qFormat/>
    <w:rsid w:val="00894B0C"/>
    <w:pPr>
      <w:keepNext/>
      <w:keepLines/>
      <w:spacing w:after="0" w:line="240" w:lineRule="auto"/>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894B0C"/>
    <w:pPr>
      <w:keepNext/>
      <w:keepLines/>
      <w:spacing w:after="0" w:line="240" w:lineRule="auto"/>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rsid w:val="00DB046F"/>
    <w:pPr>
      <w:keepNext/>
      <w:keepLines/>
      <w:spacing w:before="40" w:after="0"/>
      <w:outlineLvl w:val="2"/>
    </w:pPr>
    <w:rPr>
      <w:rFonts w:asciiTheme="majorHAnsi" w:eastAsiaTheme="majorEastAsia" w:hAnsiTheme="majorHAnsi" w:cstheme="majorBidi"/>
      <w:color w:val="2E4061" w:themeColor="accent1" w:themeShade="7F"/>
      <w:sz w:val="24"/>
      <w:szCs w:val="24"/>
    </w:rPr>
  </w:style>
  <w:style w:type="paragraph" w:styleId="Heading4">
    <w:name w:val="heading 4"/>
    <w:basedOn w:val="Normal"/>
    <w:next w:val="Normal"/>
    <w:link w:val="Heading4Char"/>
    <w:uiPriority w:val="9"/>
    <w:unhideWhenUsed/>
    <w:rsid w:val="00DB046F"/>
    <w:pPr>
      <w:keepNext/>
      <w:keepLines/>
      <w:spacing w:before="40" w:after="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after="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after="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after="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B6"/>
    <w:rPr>
      <w:rFonts w:ascii="Arial" w:hAnsi="Arial"/>
    </w:rPr>
  </w:style>
  <w:style w:type="paragraph" w:styleId="Footer">
    <w:name w:val="footer"/>
    <w:basedOn w:val="Normal"/>
    <w:link w:val="FooterChar"/>
    <w:uiPriority w:val="99"/>
    <w:unhideWhenUsed/>
    <w:rsid w:val="0022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A3"/>
  </w:style>
  <w:style w:type="paragraph" w:customStyle="1" w:styleId="Body-text">
    <w:name w:val="Body-text"/>
    <w:basedOn w:val="Normal"/>
    <w:qFormat/>
    <w:rsid w:val="00163CAF"/>
    <w:pPr>
      <w:spacing w:after="0" w:line="240" w:lineRule="auto"/>
    </w:pPr>
  </w:style>
  <w:style w:type="paragraph" w:customStyle="1" w:styleId="Body-TextBodytext">
    <w:name w:val="Body-Text (Body text)"/>
    <w:basedOn w:val="Normal"/>
    <w:uiPriority w:val="99"/>
    <w:rsid w:val="002256A3"/>
    <w:pPr>
      <w:suppressAutoHyphens/>
      <w:autoSpaceDE w:val="0"/>
      <w:autoSpaceDN w:val="0"/>
      <w:adjustRightInd w:val="0"/>
      <w:spacing w:after="227" w:line="260" w:lineRule="atLeast"/>
      <w:textAlignment w:val="center"/>
    </w:pPr>
    <w:rPr>
      <w:rFonts w:ascii="Calibri" w:hAnsi="Calibri" w:cs="Calibri"/>
      <w:color w:val="000000"/>
    </w:rPr>
  </w:style>
  <w:style w:type="paragraph" w:customStyle="1" w:styleId="Body-text-space-after">
    <w:name w:val="Body-text-space-after"/>
    <w:basedOn w:val="Body-text"/>
    <w:rsid w:val="00E84FBA"/>
    <w:pPr>
      <w:spacing w:after="454"/>
    </w:pPr>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512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ddress-text">
    <w:name w:val="Address-text"/>
    <w:basedOn w:val="Body-text"/>
    <w:rsid w:val="00265129"/>
    <w:pPr>
      <w:spacing w:after="85" w:line="200" w:lineRule="exact"/>
    </w:pPr>
  </w:style>
  <w:style w:type="paragraph" w:customStyle="1" w:styleId="Contact-info">
    <w:name w:val="Contact-info"/>
    <w:rsid w:val="00265129"/>
    <w:pPr>
      <w:spacing w:line="200" w:lineRule="exact"/>
      <w:ind w:left="255" w:hanging="255"/>
    </w:pPr>
    <w:rPr>
      <w:rFonts w:ascii="Arial" w:hAnsi="Arial"/>
      <w:sz w:val="18"/>
    </w:r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894B0C"/>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894B0C"/>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DB046F"/>
    <w:rPr>
      <w:rFonts w:asciiTheme="majorHAnsi" w:eastAsiaTheme="majorEastAsia" w:hAnsiTheme="majorHAnsi" w:cstheme="majorBidi"/>
      <w:color w:val="2E4061" w:themeColor="accent1" w:themeShade="7F"/>
      <w:sz w:val="24"/>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line="240" w:lineRule="auto"/>
    </w:pPr>
    <w:rPr>
      <w:i/>
      <w:iCs/>
      <w:sz w:val="18"/>
      <w:szCs w:val="18"/>
    </w:rPr>
  </w:style>
  <w:style w:type="paragraph" w:styleId="ListParagraph">
    <w:name w:val="List Paragraph"/>
    <w:basedOn w:val="Normal"/>
    <w:uiPriority w:val="34"/>
    <w:rsid w:val="00894B0C"/>
    <w:pPr>
      <w:ind w:left="720"/>
      <w:contextualSpacing/>
    </w:pPr>
  </w:style>
  <w:style w:type="character" w:styleId="FollowedHyperlink">
    <w:name w:val="FollowedHyperlink"/>
    <w:basedOn w:val="DefaultParagraphFont"/>
    <w:uiPriority w:val="99"/>
    <w:semiHidden/>
    <w:unhideWhenUsed/>
    <w:rsid w:val="00DE5B2E"/>
    <w:rPr>
      <w:rFonts w:ascii="Arial" w:hAnsi="Arial"/>
      <w:color w:val="6A86B8" w:themeColor="accent1"/>
      <w:sz w:val="22"/>
      <w:u w:val="single"/>
    </w:rPr>
  </w:style>
  <w:style w:type="character" w:styleId="Hyperlink">
    <w:name w:val="Hyperlink"/>
    <w:basedOn w:val="DefaultParagraphFont"/>
    <w:uiPriority w:val="99"/>
    <w:unhideWhenUsed/>
    <w:qFormat/>
    <w:rsid w:val="00DE5B2E"/>
    <w:rPr>
      <w:rFonts w:ascii="Arial" w:hAnsi="Arial"/>
      <w:color w:val="6A86B8" w:themeColor="accen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HESA_meeting_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esa.sharepoint.com/units/collectionsdevelopment/Reviews/Destinations%20and%20Outcomes%20review/Consultation/Consultation%20analysis/Results-for-consultation-new%20palet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hesa.sharepoint.com/units/collectionsdevelopment/Reviews/Destinations%20and%20Outcomes%20review/Consultation/Consultation%20analysis/Results-for-consultation-new%20palet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hesa.sharepoint.com/units/collectionsdevelopment/Reviews/Destinations%20and%20Outcomes%20review/Consultation/Consultation%20analysis/Results-for-consultation-new%20palet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hesa.sharepoint.com/units/collectionsdevelopment/Reviews/Destinations%20and%20Outcomes%20review/Consultation/Consultation%20analysis/Results-for-consultation-new%20palett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Preferences for a single survey point</a:t>
            </a:r>
          </a:p>
        </c:rich>
      </c:tx>
      <c:layout>
        <c:manualLayout>
          <c:xMode val="edge"/>
          <c:yMode val="edge"/>
          <c:x val="0.19967165405032677"/>
          <c:y val="2.73037542662116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'DRAFT 1415'!$O$32</c:f>
              <c:strCache>
                <c:ptCount val="1"/>
              </c:strCache>
            </c:strRef>
          </c:tx>
          <c:spPr>
            <a:solidFill>
              <a:schemeClr val="accent1"/>
            </a:solidFill>
            <a:ln>
              <a:noFill/>
            </a:ln>
            <a:effectLst/>
          </c:spPr>
          <c:invertIfNegative val="0"/>
          <c:dLbls>
            <c:delete val="1"/>
          </c:dLbls>
          <c:cat>
            <c:strRef>
              <c:f>'DRAFT 1415'!$K$33:$K$44</c:f>
              <c:strCache>
                <c:ptCount val="12"/>
                <c:pt idx="0">
                  <c:v>6</c:v>
                </c:pt>
                <c:pt idx="1">
                  <c:v>12</c:v>
                </c:pt>
                <c:pt idx="2">
                  <c:v>18</c:v>
                </c:pt>
                <c:pt idx="3">
                  <c:v>24</c:v>
                </c:pt>
                <c:pt idx="4">
                  <c:v>36</c:v>
                </c:pt>
                <c:pt idx="5">
                  <c:v>48</c:v>
                </c:pt>
                <c:pt idx="6">
                  <c:v>Other - 9</c:v>
                </c:pt>
                <c:pt idx="7">
                  <c:v>Other - 10</c:v>
                </c:pt>
                <c:pt idx="8">
                  <c:v>Other - 15</c:v>
                </c:pt>
                <c:pt idx="9">
                  <c:v>Other - 16</c:v>
                </c:pt>
                <c:pt idx="10">
                  <c:v>Other - 18</c:v>
                </c:pt>
                <c:pt idx="11">
                  <c:v>Other - 60</c:v>
                </c:pt>
              </c:strCache>
            </c:strRef>
          </c:cat>
          <c:val>
            <c:numRef>
              <c:f>'DRAFT 1415'!$O$33:$O$44</c:f>
              <c:numCache>
                <c:formatCode>General</c:formatCode>
                <c:ptCount val="12"/>
                <c:pt idx="0">
                  <c:v>30</c:v>
                </c:pt>
                <c:pt idx="1">
                  <c:v>65</c:v>
                </c:pt>
                <c:pt idx="2">
                  <c:v>45</c:v>
                </c:pt>
                <c:pt idx="3">
                  <c:v>3</c:v>
                </c:pt>
                <c:pt idx="4">
                  <c:v>1</c:v>
                </c:pt>
                <c:pt idx="5">
                  <c:v>2</c:v>
                </c:pt>
                <c:pt idx="6">
                  <c:v>8</c:v>
                </c:pt>
                <c:pt idx="7">
                  <c:v>5</c:v>
                </c:pt>
                <c:pt idx="8">
                  <c:v>8</c:v>
                </c:pt>
                <c:pt idx="9">
                  <c:v>1</c:v>
                </c:pt>
                <c:pt idx="10">
                  <c:v>3</c:v>
                </c:pt>
                <c:pt idx="11">
                  <c:v>1</c:v>
                </c:pt>
              </c:numCache>
            </c:numRef>
          </c:val>
          <c:extLst>
            <c:ext xmlns:c16="http://schemas.microsoft.com/office/drawing/2014/chart" uri="{C3380CC4-5D6E-409C-BE32-E72D297353CC}">
              <c16:uniqueId val="{00000000-3B3B-4C91-8460-AB1A08B4B139}"/>
            </c:ext>
          </c:extLst>
        </c:ser>
        <c:dLbls>
          <c:showLegendKey val="0"/>
          <c:showVal val="1"/>
          <c:showCatName val="0"/>
          <c:showSerName val="0"/>
          <c:showPercent val="0"/>
          <c:showBubbleSize val="0"/>
        </c:dLbls>
        <c:gapWidth val="150"/>
        <c:overlap val="100"/>
        <c:axId val="410932424"/>
        <c:axId val="410935704"/>
      </c:barChart>
      <c:catAx>
        <c:axId val="410932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935704"/>
        <c:crosses val="autoZero"/>
        <c:auto val="1"/>
        <c:lblAlgn val="ctr"/>
        <c:lblOffset val="100"/>
        <c:noMultiLvlLbl val="0"/>
      </c:catAx>
      <c:valAx>
        <c:axId val="410935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93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effectLst/>
              </a:rPr>
              <a:t>Preferences</a:t>
            </a:r>
            <a:r>
              <a:rPr lang="en-GB" sz="1400" baseline="0">
                <a:effectLst/>
              </a:rPr>
              <a:t> for multiple survey points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'16'!$I$4:$I$18</c:f>
              <c:strCache>
                <c:ptCount val="15"/>
                <c:pt idx="0">
                  <c:v>6</c:v>
                </c:pt>
                <c:pt idx="1">
                  <c:v>12</c:v>
                </c:pt>
                <c:pt idx="2">
                  <c:v>18</c:v>
                </c:pt>
                <c:pt idx="3">
                  <c:v>24</c:v>
                </c:pt>
                <c:pt idx="4">
                  <c:v>36</c:v>
                </c:pt>
                <c:pt idx="5">
                  <c:v>48</c:v>
                </c:pt>
                <c:pt idx="6">
                  <c:v>Other - 9</c:v>
                </c:pt>
                <c:pt idx="7">
                  <c:v>Other - 16</c:v>
                </c:pt>
                <c:pt idx="8">
                  <c:v>Other - 22</c:v>
                </c:pt>
                <c:pt idx="9">
                  <c:v>Other - 30</c:v>
                </c:pt>
                <c:pt idx="10">
                  <c:v>Other - 42 </c:v>
                </c:pt>
                <c:pt idx="11">
                  <c:v>Other - 50</c:v>
                </c:pt>
                <c:pt idx="12">
                  <c:v>Other - 60</c:v>
                </c:pt>
                <c:pt idx="13">
                  <c:v>Other - 72 </c:v>
                </c:pt>
                <c:pt idx="14">
                  <c:v>Other - 120</c:v>
                </c:pt>
              </c:strCache>
            </c:strRef>
          </c:cat>
          <c:val>
            <c:numRef>
              <c:f>'16'!$J$4:$J$18</c:f>
              <c:numCache>
                <c:formatCode>General</c:formatCode>
                <c:ptCount val="15"/>
                <c:pt idx="0">
                  <c:v>63</c:v>
                </c:pt>
                <c:pt idx="1">
                  <c:v>64</c:v>
                </c:pt>
                <c:pt idx="2">
                  <c:v>53</c:v>
                </c:pt>
                <c:pt idx="3">
                  <c:v>42</c:v>
                </c:pt>
                <c:pt idx="4">
                  <c:v>68</c:v>
                </c:pt>
                <c:pt idx="5">
                  <c:v>18</c:v>
                </c:pt>
                <c:pt idx="6">
                  <c:v>4</c:v>
                </c:pt>
                <c:pt idx="7">
                  <c:v>1</c:v>
                </c:pt>
                <c:pt idx="8">
                  <c:v>1</c:v>
                </c:pt>
                <c:pt idx="9">
                  <c:v>3</c:v>
                </c:pt>
                <c:pt idx="10">
                  <c:v>2</c:v>
                </c:pt>
                <c:pt idx="11">
                  <c:v>1</c:v>
                </c:pt>
                <c:pt idx="12">
                  <c:v>7</c:v>
                </c:pt>
                <c:pt idx="13">
                  <c:v>2</c:v>
                </c:pt>
                <c:pt idx="14">
                  <c:v>2</c:v>
                </c:pt>
              </c:numCache>
            </c:numRef>
          </c:val>
          <c:extLst>
            <c:ext xmlns:c16="http://schemas.microsoft.com/office/drawing/2014/chart" uri="{C3380CC4-5D6E-409C-BE32-E72D297353CC}">
              <c16:uniqueId val="{00000000-363E-45BC-BF2B-4C74913BC976}"/>
            </c:ext>
          </c:extLst>
        </c:ser>
        <c:dLbls>
          <c:showLegendKey val="0"/>
          <c:showVal val="0"/>
          <c:showCatName val="0"/>
          <c:showSerName val="0"/>
          <c:showPercent val="0"/>
          <c:showBubbleSize val="0"/>
        </c:dLbls>
        <c:gapWidth val="219"/>
        <c:overlap val="-27"/>
        <c:axId val="527107904"/>
        <c:axId val="516670720"/>
      </c:barChart>
      <c:catAx>
        <c:axId val="52710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670720"/>
        <c:crosses val="autoZero"/>
        <c:auto val="1"/>
        <c:lblAlgn val="ctr"/>
        <c:lblOffset val="100"/>
        <c:noMultiLvlLbl val="0"/>
      </c:catAx>
      <c:valAx>
        <c:axId val="51667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10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'14'!$L$3</c:f>
              <c:strCache>
                <c:ptCount val="1"/>
                <c:pt idx="0">
                  <c:v>Do you think a single survey point can work?</c:v>
                </c:pt>
              </c:strCache>
            </c:strRef>
          </c:tx>
          <c:spPr>
            <a:solidFill>
              <a:schemeClr val="accent1"/>
            </a:solidFill>
            <a:ln>
              <a:noFill/>
            </a:ln>
            <a:effectLst/>
          </c:spPr>
          <c:invertIfNegative val="0"/>
          <c:dLbls>
            <c:dLbl>
              <c:idx val="0"/>
              <c:tx>
                <c:rich>
                  <a:bodyPr/>
                  <a:lstStyle/>
                  <a:p>
                    <a:fld id="{7790042A-3995-4D09-93A9-4F78DD6A53A9}" type="CELLRANGE">
                      <a:rPr lang="en-US"/>
                      <a:pPr/>
                      <a:t>[CELLRANGE]</a:t>
                    </a:fld>
                    <a:endParaRPr lang="en-GB"/>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DB09-4188-96D5-BB767CB8886C}"/>
                </c:ext>
              </c:extLst>
            </c:dLbl>
            <c:dLbl>
              <c:idx val="1"/>
              <c:tx>
                <c:rich>
                  <a:bodyPr/>
                  <a:lstStyle/>
                  <a:p>
                    <a:fld id="{4056350E-6F22-456D-BFFC-E44E12417C18}" type="CELLRANGE">
                      <a:rPr lang="en-GB"/>
                      <a:pPr/>
                      <a:t>[CELLRANGE]</a:t>
                    </a:fld>
                    <a:endParaRPr lang="en-GB"/>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B09-4188-96D5-BB767CB8886C}"/>
                </c:ext>
              </c:extLst>
            </c:dLbl>
            <c:dLbl>
              <c:idx val="2"/>
              <c:tx>
                <c:rich>
                  <a:bodyPr/>
                  <a:lstStyle/>
                  <a:p>
                    <a:fld id="{63D2A09D-D8FD-4778-8379-C9222B3038A7}" type="CELLRANGE">
                      <a:rPr lang="en-GB"/>
                      <a:pPr/>
                      <a:t>[CELLRANGE]</a:t>
                    </a:fld>
                    <a:endParaRPr lang="en-GB"/>
                  </a:p>
                </c:rich>
              </c:tx>
              <c:dLblPos val="outEnd"/>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B09-4188-96D5-BB767CB8886C}"/>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'14'!$K$4:$K$6</c:f>
              <c:strCache>
                <c:ptCount val="3"/>
                <c:pt idx="0">
                  <c:v>Yes</c:v>
                </c:pt>
                <c:pt idx="1">
                  <c:v>No</c:v>
                </c:pt>
                <c:pt idx="2">
                  <c:v>Abstained</c:v>
                </c:pt>
              </c:strCache>
            </c:strRef>
          </c:cat>
          <c:val>
            <c:numRef>
              <c:f>'14'!$L$4:$L$6</c:f>
              <c:numCache>
                <c:formatCode>General</c:formatCode>
                <c:ptCount val="3"/>
                <c:pt idx="0">
                  <c:v>122</c:v>
                </c:pt>
                <c:pt idx="1">
                  <c:v>67</c:v>
                </c:pt>
                <c:pt idx="2">
                  <c:v>15</c:v>
                </c:pt>
              </c:numCache>
            </c:numRef>
          </c:val>
          <c:extLst>
            <c:ext xmlns:c15="http://schemas.microsoft.com/office/drawing/2012/chart" uri="{02D57815-91ED-43cb-92C2-25804820EDAC}">
              <c15:datalabelsRange>
                <c15:f>'14'!$M$4:$M$6</c15:f>
                <c15:dlblRangeCache>
                  <c:ptCount val="3"/>
                  <c:pt idx="0">
                    <c:v>60%</c:v>
                  </c:pt>
                  <c:pt idx="1">
                    <c:v>33%</c:v>
                  </c:pt>
                  <c:pt idx="2">
                    <c:v>7%</c:v>
                  </c:pt>
                </c15:dlblRangeCache>
              </c15:datalabelsRange>
            </c:ext>
            <c:ext xmlns:c16="http://schemas.microsoft.com/office/drawing/2014/chart" uri="{C3380CC4-5D6E-409C-BE32-E72D297353CC}">
              <c16:uniqueId val="{00000003-DB09-4188-96D5-BB767CB8886C}"/>
            </c:ext>
          </c:extLst>
        </c:ser>
        <c:dLbls>
          <c:dLblPos val="outEnd"/>
          <c:showLegendKey val="0"/>
          <c:showVal val="1"/>
          <c:showCatName val="0"/>
          <c:showSerName val="0"/>
          <c:showPercent val="0"/>
          <c:showBubbleSize val="0"/>
        </c:dLbls>
        <c:gapWidth val="219"/>
        <c:overlap val="-27"/>
        <c:axId val="564659576"/>
        <c:axId val="564658592"/>
      </c:barChart>
      <c:catAx>
        <c:axId val="56465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658592"/>
        <c:crosses val="autoZero"/>
        <c:auto val="1"/>
        <c:lblAlgn val="ctr"/>
        <c:lblOffset val="100"/>
        <c:noMultiLvlLbl val="0"/>
      </c:catAx>
      <c:valAx>
        <c:axId val="56465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659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Do you think a single survey point can work?</a:t>
            </a:r>
            <a:endParaRPr lang="en-GB"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'14'!$H$17</c:f>
              <c:strCache>
                <c:ptCount val="1"/>
                <c:pt idx="0">
                  <c:v>Yes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'14'!$G$18:$G$25</c:f>
              <c:strCache>
                <c:ptCount val="8"/>
                <c:pt idx="0">
                  <c:v>Higher Education provider</c:v>
                </c:pt>
                <c:pt idx="1">
                  <c:v>Further Education provider</c:v>
                </c:pt>
                <c:pt idx="2">
                  <c:v>HE sector body</c:v>
                </c:pt>
                <c:pt idx="3">
                  <c:v>Professional, statutory or regulatory body</c:v>
                </c:pt>
                <c:pt idx="4">
                  <c:v>Government body</c:v>
                </c:pt>
                <c:pt idx="5">
                  <c:v>Student representative organisation</c:v>
                </c:pt>
                <c:pt idx="6">
                  <c:v>Employer/employer organisation</c:v>
                </c:pt>
                <c:pt idx="7">
                  <c:v>Private individual</c:v>
                </c:pt>
              </c:strCache>
            </c:strRef>
          </c:cat>
          <c:val>
            <c:numRef>
              <c:f>'14'!$H$18:$H$25</c:f>
              <c:numCache>
                <c:formatCode>General</c:formatCode>
                <c:ptCount val="8"/>
                <c:pt idx="0">
                  <c:v>92</c:v>
                </c:pt>
                <c:pt idx="1">
                  <c:v>2</c:v>
                </c:pt>
                <c:pt idx="2">
                  <c:v>8</c:v>
                </c:pt>
                <c:pt idx="3">
                  <c:v>5</c:v>
                </c:pt>
                <c:pt idx="4">
                  <c:v>3</c:v>
                </c:pt>
                <c:pt idx="5">
                  <c:v>8</c:v>
                </c:pt>
                <c:pt idx="6">
                  <c:v>1</c:v>
                </c:pt>
                <c:pt idx="7">
                  <c:v>3</c:v>
                </c:pt>
              </c:numCache>
            </c:numRef>
          </c:val>
          <c:extLst>
            <c:ext xmlns:c16="http://schemas.microsoft.com/office/drawing/2014/chart" uri="{C3380CC4-5D6E-409C-BE32-E72D297353CC}">
              <c16:uniqueId val="{00000000-94B2-4894-BC70-851EE64DBA9D}"/>
            </c:ext>
          </c:extLst>
        </c:ser>
        <c:ser>
          <c:idx val="1"/>
          <c:order val="1"/>
          <c:tx>
            <c:strRef>
              <c:f>'14'!$I$17</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'14'!$G$18:$G$25</c:f>
              <c:strCache>
                <c:ptCount val="8"/>
                <c:pt idx="0">
                  <c:v>Higher Education provider</c:v>
                </c:pt>
                <c:pt idx="1">
                  <c:v>Further Education provider</c:v>
                </c:pt>
                <c:pt idx="2">
                  <c:v>HE sector body</c:v>
                </c:pt>
                <c:pt idx="3">
                  <c:v>Professional, statutory or regulatory body</c:v>
                </c:pt>
                <c:pt idx="4">
                  <c:v>Government body</c:v>
                </c:pt>
                <c:pt idx="5">
                  <c:v>Student representative organisation</c:v>
                </c:pt>
                <c:pt idx="6">
                  <c:v>Employer/employer organisation</c:v>
                </c:pt>
                <c:pt idx="7">
                  <c:v>Private individual</c:v>
                </c:pt>
              </c:strCache>
            </c:strRef>
          </c:cat>
          <c:val>
            <c:numRef>
              <c:f>'14'!$I$18:$I$25</c:f>
              <c:numCache>
                <c:formatCode>General</c:formatCode>
                <c:ptCount val="8"/>
                <c:pt idx="0">
                  <c:v>35</c:v>
                </c:pt>
                <c:pt idx="1">
                  <c:v>2</c:v>
                </c:pt>
                <c:pt idx="2">
                  <c:v>8</c:v>
                </c:pt>
                <c:pt idx="3">
                  <c:v>7</c:v>
                </c:pt>
                <c:pt idx="4">
                  <c:v>1</c:v>
                </c:pt>
                <c:pt idx="5">
                  <c:v>7</c:v>
                </c:pt>
                <c:pt idx="6">
                  <c:v>2</c:v>
                </c:pt>
                <c:pt idx="7">
                  <c:v>5</c:v>
                </c:pt>
              </c:numCache>
            </c:numRef>
          </c:val>
          <c:extLst>
            <c:ext xmlns:c16="http://schemas.microsoft.com/office/drawing/2014/chart" uri="{C3380CC4-5D6E-409C-BE32-E72D297353CC}">
              <c16:uniqueId val="{00000001-94B2-4894-BC70-851EE64DBA9D}"/>
            </c:ext>
          </c:extLst>
        </c:ser>
        <c:ser>
          <c:idx val="2"/>
          <c:order val="2"/>
          <c:tx>
            <c:strRef>
              <c:f>'14'!$J$17</c:f>
              <c:strCache>
                <c:ptCount val="1"/>
                <c:pt idx="0">
                  <c:v>Abstained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'14'!$G$18:$G$25</c:f>
              <c:strCache>
                <c:ptCount val="8"/>
                <c:pt idx="0">
                  <c:v>Higher Education provider</c:v>
                </c:pt>
                <c:pt idx="1">
                  <c:v>Further Education provider</c:v>
                </c:pt>
                <c:pt idx="2">
                  <c:v>HE sector body</c:v>
                </c:pt>
                <c:pt idx="3">
                  <c:v>Professional, statutory or regulatory body</c:v>
                </c:pt>
                <c:pt idx="4">
                  <c:v>Government body</c:v>
                </c:pt>
                <c:pt idx="5">
                  <c:v>Student representative organisation</c:v>
                </c:pt>
                <c:pt idx="6">
                  <c:v>Employer/employer organisation</c:v>
                </c:pt>
                <c:pt idx="7">
                  <c:v>Private individual</c:v>
                </c:pt>
              </c:strCache>
            </c:strRef>
          </c:cat>
          <c:val>
            <c:numRef>
              <c:f>'14'!$J$18:$J$25</c:f>
              <c:numCache>
                <c:formatCode>General</c:formatCode>
                <c:ptCount val="8"/>
                <c:pt idx="0">
                  <c:v>4</c:v>
                </c:pt>
                <c:pt idx="2">
                  <c:v>3</c:v>
                </c:pt>
                <c:pt idx="3">
                  <c:v>2</c:v>
                </c:pt>
                <c:pt idx="4">
                  <c:v>3</c:v>
                </c:pt>
                <c:pt idx="5">
                  <c:v>1</c:v>
                </c:pt>
                <c:pt idx="6">
                  <c:v>1</c:v>
                </c:pt>
                <c:pt idx="7">
                  <c:v>1</c:v>
                </c:pt>
              </c:numCache>
            </c:numRef>
          </c:val>
          <c:extLst>
            <c:ext xmlns:c16="http://schemas.microsoft.com/office/drawing/2014/chart" uri="{C3380CC4-5D6E-409C-BE32-E72D297353CC}">
              <c16:uniqueId val="{00000002-94B2-4894-BC70-851EE64DBA9D}"/>
            </c:ext>
          </c:extLst>
        </c:ser>
        <c:dLbls>
          <c:dLblPos val="ctr"/>
          <c:showLegendKey val="0"/>
          <c:showVal val="1"/>
          <c:showCatName val="0"/>
          <c:showSerName val="0"/>
          <c:showPercent val="0"/>
          <c:showBubbleSize val="0"/>
        </c:dLbls>
        <c:gapWidth val="150"/>
        <c:overlap val="100"/>
        <c:axId val="414801600"/>
        <c:axId val="354877088"/>
      </c:barChart>
      <c:catAx>
        <c:axId val="41480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877088"/>
        <c:crosses val="autoZero"/>
        <c:auto val="1"/>
        <c:lblAlgn val="ctr"/>
        <c:lblOffset val="100"/>
        <c:noMultiLvlLbl val="0"/>
      </c:catAx>
      <c:valAx>
        <c:axId val="354877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80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16C5F"/>
    <w:rsid w:val="0041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10" ma:contentTypeDescription="Create a new document." ma:contentTypeScope="" ma:versionID="269f85545fa28430a5d3282b0779f206">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82d09030af37f861091776ecaf1129d"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0368-A16B-4AFB-967A-0190614A84F9}">
  <ds:schemaRefs>
    <ds:schemaRef ds:uri="http://schemas.microsoft.com/sharepoint/v3/contenttype/forms"/>
  </ds:schemaRefs>
</ds:datastoreItem>
</file>

<file path=customXml/itemProps2.xml><?xml version="1.0" encoding="utf-8"?>
<ds:datastoreItem xmlns:ds="http://schemas.openxmlformats.org/officeDocument/2006/customXml" ds:itemID="{525DA418-EC99-47E9-84C3-4D6E74FA997F}">
  <ds:schemaRefs>
    <ds:schemaRef ds:uri="http://purl.org/dc/elements/1.1/"/>
    <ds:schemaRef ds:uri="a45e714d-71aa-41bd-a0fb-0b18d003f34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677653f-c5f2-48a5-85d0-ca15fa286beb"/>
    <ds:schemaRef ds:uri="9b9937a8-eafa-4a27-b809-98474ec73a5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F5D92A-A550-408B-8580-0A1CAD29575E}"/>
</file>

<file path=customXml/itemProps4.xml><?xml version="1.0" encoding="utf-8"?>
<ds:datastoreItem xmlns:ds="http://schemas.openxmlformats.org/officeDocument/2006/customXml" ds:itemID="{118A78BD-479F-495A-9516-CA324F8A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HESA_meeting_paper.dotx</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Hewitt</dc:creator>
  <cp:keywords/>
  <dc:description/>
  <cp:lastModifiedBy>Rachel Hewitt</cp:lastModifiedBy>
  <cp:revision>4</cp:revision>
  <cp:lastPrinted>2016-10-24T06:47:00Z</cp:lastPrinted>
  <dcterms:created xsi:type="dcterms:W3CDTF">2016-10-19T16:38:00Z</dcterms:created>
  <dcterms:modified xsi:type="dcterms:W3CDTF">2016-10-24T06:47:00Z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