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B335" w14:textId="77777777" w:rsidR="00DC5C29" w:rsidRDefault="009E30B0" w:rsidP="00455B19">
      <w:pPr>
        <w:pStyle w:val="Heading1"/>
      </w:pPr>
      <w:r>
        <w:fldChar w:fldCharType="begin"/>
      </w:r>
      <w:r>
        <w:instrText xml:space="preserve"> FILLIN  \* MERGEFORMAT </w:instrText>
      </w:r>
      <w:r>
        <w:fldChar w:fldCharType="end"/>
      </w:r>
    </w:p>
    <w:p w14:paraId="65CEC2E1" w14:textId="77777777" w:rsidR="00DC5C29" w:rsidRDefault="00DC5C29"/>
    <w:p w14:paraId="03C2D2AA" w14:textId="77777777" w:rsidR="0034662B" w:rsidRPr="0034662B" w:rsidRDefault="0034662B" w:rsidP="0034662B">
      <w:pPr>
        <w:rPr>
          <w:b/>
          <w:iCs/>
          <w:color w:val="365F91" w:themeColor="accent1" w:themeShade="BF"/>
          <w:kern w:val="28"/>
          <w:sz w:val="28"/>
        </w:rPr>
      </w:pPr>
      <w:r w:rsidRPr="0034662B">
        <w:rPr>
          <w:b/>
          <w:iCs/>
          <w:color w:val="365F91" w:themeColor="accent1" w:themeShade="BF"/>
          <w:kern w:val="28"/>
          <w:sz w:val="28"/>
        </w:rPr>
        <w:t>Review of HE student outcomes and destinations data</w:t>
      </w:r>
    </w:p>
    <w:p w14:paraId="3C6541EA" w14:textId="66D1B817" w:rsidR="00DC5C29" w:rsidRDefault="00F03853" w:rsidP="0034662B">
      <w:pPr>
        <w:rPr>
          <w:b/>
          <w:iCs/>
          <w:color w:val="365F91" w:themeColor="accent1" w:themeShade="BF"/>
          <w:kern w:val="28"/>
          <w:sz w:val="28"/>
        </w:rPr>
      </w:pPr>
      <w:r>
        <w:rPr>
          <w:b/>
          <w:iCs/>
          <w:color w:val="365F91" w:themeColor="accent1" w:themeShade="BF"/>
          <w:kern w:val="28"/>
          <w:sz w:val="28"/>
        </w:rPr>
        <w:t>Working</w:t>
      </w:r>
      <w:bookmarkStart w:id="0" w:name="_GoBack"/>
      <w:bookmarkEnd w:id="0"/>
      <w:r w:rsidR="0034662B" w:rsidRPr="0034662B">
        <w:rPr>
          <w:b/>
          <w:iCs/>
          <w:color w:val="365F91" w:themeColor="accent1" w:themeShade="BF"/>
          <w:kern w:val="28"/>
          <w:sz w:val="28"/>
        </w:rPr>
        <w:t xml:space="preserve"> group meeting</w:t>
      </w:r>
      <w:r w:rsidR="0034662B">
        <w:rPr>
          <w:b/>
          <w:iCs/>
          <w:color w:val="365F91" w:themeColor="accent1" w:themeShade="BF"/>
          <w:kern w:val="28"/>
          <w:sz w:val="28"/>
        </w:rPr>
        <w:t xml:space="preserve"> </w:t>
      </w:r>
    </w:p>
    <w:p w14:paraId="139E7CE9" w14:textId="77777777" w:rsidR="00FD3902" w:rsidRDefault="00FD3902" w:rsidP="00FD3902"/>
    <w:p w14:paraId="15CA0081" w14:textId="77777777" w:rsidR="00A112F3" w:rsidRPr="00A112F3" w:rsidRDefault="00A112F3" w:rsidP="00A112F3">
      <w:pPr>
        <w:rPr>
          <w:b/>
          <w:iCs/>
          <w:color w:val="365F91" w:themeColor="accent1" w:themeShade="BF"/>
          <w:kern w:val="28"/>
          <w:sz w:val="24"/>
        </w:rPr>
      </w:pPr>
      <w:r w:rsidRPr="00A112F3">
        <w:rPr>
          <w:b/>
          <w:iCs/>
          <w:color w:val="365F91" w:themeColor="accent1" w:themeShade="BF"/>
          <w:kern w:val="28"/>
          <w:sz w:val="24"/>
        </w:rPr>
        <w:t>11.00 – 15.00 Thursday 19 November 2015</w:t>
      </w:r>
    </w:p>
    <w:p w14:paraId="54BCAD3C" w14:textId="0182123C" w:rsidR="00DC5C29" w:rsidRDefault="00A112F3" w:rsidP="00A112F3">
      <w:r w:rsidRPr="00A112F3">
        <w:rPr>
          <w:b/>
          <w:iCs/>
          <w:color w:val="365F91" w:themeColor="accent1" w:themeShade="BF"/>
          <w:kern w:val="28"/>
          <w:sz w:val="24"/>
        </w:rPr>
        <w:t>etc.venues Liverpool Street, Bishopsgate Court, 4-12 Norton Folgate, London, E1 6DQ</w:t>
      </w:r>
    </w:p>
    <w:p w14:paraId="654EB222" w14:textId="18783C6E" w:rsidR="00DC5C29" w:rsidRDefault="4C11FB15" w:rsidP="00184F4E">
      <w:pPr>
        <w:pStyle w:val="PaperNo"/>
      </w:pPr>
      <w:r>
        <w:t>Paper No: 1</w:t>
      </w:r>
    </w:p>
    <w:p w14:paraId="1714AC4E" w14:textId="77777777" w:rsidR="00DC5C29" w:rsidRDefault="00DC5C29"/>
    <w:p w14:paraId="54F467D1" w14:textId="2AF88EC7" w:rsidR="0034662B" w:rsidRDefault="0034662B" w:rsidP="0034662B">
      <w:pPr>
        <w:rPr>
          <w:b/>
          <w:iCs/>
          <w:color w:val="365F91" w:themeColor="accent1" w:themeShade="BF"/>
          <w:kern w:val="28"/>
          <w:sz w:val="28"/>
        </w:rPr>
      </w:pPr>
      <w:r>
        <w:rPr>
          <w:b/>
          <w:iCs/>
          <w:color w:val="365F91" w:themeColor="accent1" w:themeShade="BF"/>
          <w:kern w:val="28"/>
          <w:sz w:val="28"/>
        </w:rPr>
        <w:t>Terms of Reference</w:t>
      </w:r>
    </w:p>
    <w:p w14:paraId="45961D8D" w14:textId="77777777" w:rsidR="0034662B" w:rsidRDefault="0034662B" w:rsidP="0034662B">
      <w:pPr>
        <w:rPr>
          <w:b/>
          <w:iCs/>
          <w:color w:val="365F91" w:themeColor="accent1" w:themeShade="BF"/>
          <w:kern w:val="28"/>
          <w:sz w:val="28"/>
        </w:rPr>
      </w:pPr>
    </w:p>
    <w:p w14:paraId="0F22D9AC" w14:textId="1583DB54" w:rsidR="00DC5C29" w:rsidRDefault="0034662B" w:rsidP="00481BD5">
      <w:r>
        <w:t>Terms of Reference for the review have been drafted and published on the HESA website.</w:t>
      </w:r>
      <w:r w:rsidR="00481BD5">
        <w:t xml:space="preserve"> These are reproduced below.</w:t>
      </w:r>
    </w:p>
    <w:p w14:paraId="57BAC61C" w14:textId="77777777" w:rsidR="00570EC9" w:rsidRPr="00570EC9" w:rsidRDefault="00570EC9" w:rsidP="00570EC9"/>
    <w:p w14:paraId="2E046241" w14:textId="77777777" w:rsidR="00570EC9" w:rsidRPr="00570EC9" w:rsidRDefault="00570EC9" w:rsidP="00570EC9"/>
    <w:p w14:paraId="50761417" w14:textId="77777777" w:rsidR="00570EC9" w:rsidRDefault="00570EC9" w:rsidP="00570EC9">
      <w:pPr>
        <w:pStyle w:val="Heading1"/>
      </w:pPr>
      <w:r>
        <w:t>Higher Education student outcomes and destinations: a fundamental review of information needs</w:t>
      </w:r>
    </w:p>
    <w:p w14:paraId="5CED98A9" w14:textId="77777777" w:rsidR="00570EC9" w:rsidRDefault="00570EC9" w:rsidP="00570EC9">
      <w:pPr>
        <w:pStyle w:val="Heading2"/>
      </w:pPr>
    </w:p>
    <w:p w14:paraId="22067139" w14:textId="3E5385D5" w:rsidR="00570EC9" w:rsidRDefault="00570EC9" w:rsidP="00570EC9">
      <w:pPr>
        <w:pStyle w:val="Heading3"/>
      </w:pPr>
      <w:r>
        <w:t>Terms of reference</w:t>
      </w:r>
      <w:r w:rsidR="6203C60D">
        <w:t xml:space="preserve"> for the review</w:t>
      </w:r>
    </w:p>
    <w:p w14:paraId="6C326BC6" w14:textId="77777777" w:rsidR="00570EC9" w:rsidRPr="00DC58FF" w:rsidRDefault="00570EC9" w:rsidP="00570EC9">
      <w:pPr>
        <w:rPr>
          <w:rFonts w:asciiTheme="minorHAnsi" w:hAnsiTheme="minorHAnsi"/>
        </w:rPr>
      </w:pPr>
    </w:p>
    <w:p w14:paraId="655D837D" w14:textId="39C1F2F4" w:rsidR="00570EC9" w:rsidRPr="00DC58FF" w:rsidRDefault="00570EC9" w:rsidP="00570EC9">
      <w:pPr>
        <w:numPr>
          <w:ilvl w:val="0"/>
          <w:numId w:val="1"/>
        </w:numPr>
        <w:textAlignment w:val="auto"/>
        <w:rPr>
          <w:rFonts w:asciiTheme="minorHAnsi" w:hAnsiTheme="minorHAnsi"/>
        </w:rPr>
      </w:pPr>
      <w:r w:rsidRPr="00DC58FF">
        <w:rPr>
          <w:rFonts w:asciiTheme="minorHAnsi" w:hAnsiTheme="minorHAnsi"/>
        </w:rPr>
        <w:t>To review requirement</w:t>
      </w:r>
      <w:r w:rsidR="0040687C">
        <w:rPr>
          <w:rFonts w:asciiTheme="minorHAnsi" w:hAnsiTheme="minorHAnsi"/>
        </w:rPr>
        <w:t>s to collect</w:t>
      </w:r>
      <w:r w:rsidRPr="00DC58FF">
        <w:rPr>
          <w:rFonts w:asciiTheme="minorHAnsi" w:hAnsiTheme="minorHAnsi"/>
        </w:rPr>
        <w:t xml:space="preserve"> student and graduate destinations and outcomes information</w:t>
      </w:r>
      <w:r w:rsidR="0040687C">
        <w:rPr>
          <w:rFonts w:asciiTheme="minorHAnsi" w:hAnsiTheme="minorHAnsi"/>
        </w:rPr>
        <w:t xml:space="preserve"> across the UK</w:t>
      </w:r>
      <w:r w:rsidRPr="00DC58FF">
        <w:rPr>
          <w:rFonts w:asciiTheme="minorHAnsi" w:hAnsiTheme="minorHAnsi"/>
        </w:rPr>
        <w:t xml:space="preserve">, working with </w:t>
      </w:r>
      <w:r>
        <w:rPr>
          <w:rFonts w:asciiTheme="minorHAnsi" w:hAnsiTheme="minorHAnsi"/>
        </w:rPr>
        <w:t>a wide range of stakeholders to:</w:t>
      </w:r>
    </w:p>
    <w:p w14:paraId="1C81B76A" w14:textId="77777777" w:rsidR="0040687C" w:rsidRPr="00DC58FF" w:rsidRDefault="0040687C" w:rsidP="0040687C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Ensure the future s</w:t>
      </w:r>
      <w:r w:rsidRPr="00DC58FF">
        <w:rPr>
          <w:rFonts w:asciiTheme="minorHAnsi" w:hAnsiTheme="minorHAnsi"/>
        </w:rPr>
        <w:t xml:space="preserve">upply </w:t>
      </w:r>
      <w:r>
        <w:rPr>
          <w:rFonts w:asciiTheme="minorHAnsi" w:hAnsiTheme="minorHAnsi"/>
        </w:rPr>
        <w:t xml:space="preserve">of suitably </w:t>
      </w:r>
      <w:r w:rsidRPr="00DC58FF">
        <w:rPr>
          <w:rFonts w:asciiTheme="minorHAnsi" w:hAnsiTheme="minorHAnsi"/>
        </w:rPr>
        <w:t xml:space="preserve">informative data </w:t>
      </w:r>
      <w:r>
        <w:rPr>
          <w:rFonts w:asciiTheme="minorHAnsi" w:hAnsiTheme="minorHAnsi"/>
        </w:rPr>
        <w:t xml:space="preserve">on the </w:t>
      </w:r>
      <w:r w:rsidRPr="00DC58FF">
        <w:rPr>
          <w:rFonts w:asciiTheme="minorHAnsi" w:hAnsiTheme="minorHAnsi"/>
        </w:rPr>
        <w:t xml:space="preserve">destinations and outcomes </w:t>
      </w:r>
      <w:r>
        <w:rPr>
          <w:rFonts w:asciiTheme="minorHAnsi" w:hAnsiTheme="minorHAnsi"/>
        </w:rPr>
        <w:t xml:space="preserve">of leavers from HE, </w:t>
      </w:r>
      <w:r w:rsidRPr="00DC58FF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a wide range of end uses</w:t>
      </w:r>
    </w:p>
    <w:p w14:paraId="4F8A364A" w14:textId="77777777" w:rsidR="00570EC9" w:rsidRDefault="00570EC9" w:rsidP="00570EC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Answer the questions set by the review remit document, and any others that are identified by the Strategic Group</w:t>
      </w:r>
    </w:p>
    <w:p w14:paraId="4897F879" w14:textId="00807931" w:rsidR="00570EC9" w:rsidRPr="00DC58FF" w:rsidRDefault="00570EC9" w:rsidP="00570EC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Investigate the availability of new data following legislative changes</w:t>
      </w:r>
    </w:p>
    <w:p w14:paraId="09241406" w14:textId="77777777" w:rsidR="00570EC9" w:rsidRPr="00DC58FF" w:rsidRDefault="00570EC9" w:rsidP="00570EC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Increase the efficiency of data collection</w:t>
      </w:r>
    </w:p>
    <w:p w14:paraId="4820EA65" w14:textId="77777777" w:rsidR="00570EC9" w:rsidRPr="00DC58FF" w:rsidRDefault="00570EC9" w:rsidP="00570EC9">
      <w:pPr>
        <w:ind w:left="1080"/>
        <w:rPr>
          <w:rFonts w:asciiTheme="minorHAnsi" w:hAnsiTheme="minorHAnsi"/>
        </w:rPr>
      </w:pPr>
    </w:p>
    <w:p w14:paraId="31CCF1B8" w14:textId="77777777" w:rsidR="00570EC9" w:rsidRPr="00DC58FF" w:rsidRDefault="00570EC9" w:rsidP="00570EC9">
      <w:pPr>
        <w:numPr>
          <w:ilvl w:val="0"/>
          <w:numId w:val="1"/>
        </w:numPr>
        <w:textAlignment w:val="auto"/>
        <w:rPr>
          <w:rFonts w:asciiTheme="minorHAnsi" w:hAnsiTheme="minorHAnsi"/>
        </w:rPr>
      </w:pPr>
      <w:r w:rsidRPr="00DC58FF">
        <w:rPr>
          <w:rFonts w:asciiTheme="minorHAnsi" w:hAnsiTheme="minorHAnsi"/>
        </w:rPr>
        <w:t>To consult on proposals for change</w:t>
      </w:r>
    </w:p>
    <w:p w14:paraId="1E61EF32" w14:textId="77777777" w:rsidR="00570EC9" w:rsidRPr="00DC58FF" w:rsidRDefault="00570EC9" w:rsidP="00570EC9">
      <w:pPr>
        <w:rPr>
          <w:rFonts w:asciiTheme="minorHAnsi" w:hAnsiTheme="minorHAnsi"/>
        </w:rPr>
      </w:pPr>
    </w:p>
    <w:p w14:paraId="2E22125A" w14:textId="0CA584D7" w:rsidR="00570EC9" w:rsidRPr="00080A9B" w:rsidRDefault="00570EC9" w:rsidP="00570EC9">
      <w:pPr>
        <w:numPr>
          <w:ilvl w:val="0"/>
          <w:numId w:val="1"/>
        </w:numPr>
        <w:textAlignment w:val="auto"/>
        <w:rPr>
          <w:rFonts w:asciiTheme="minorHAnsi" w:hAnsiTheme="minorHAnsi"/>
        </w:rPr>
      </w:pPr>
      <w:r w:rsidRPr="00DC58FF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produce and seek support for a business case that </w:t>
      </w:r>
      <w:r w:rsidRPr="00DC58FF">
        <w:rPr>
          <w:rFonts w:asciiTheme="minorHAnsi" w:hAnsiTheme="minorHAnsi"/>
        </w:rPr>
        <w:t>make</w:t>
      </w:r>
      <w:r>
        <w:rPr>
          <w:rFonts w:asciiTheme="minorHAnsi" w:hAnsiTheme="minorHAnsi"/>
        </w:rPr>
        <w:t>s</w:t>
      </w:r>
      <w:r w:rsidRPr="00DC58FF">
        <w:rPr>
          <w:rFonts w:asciiTheme="minorHAnsi" w:hAnsiTheme="minorHAnsi"/>
        </w:rPr>
        <w:t xml:space="preserve"> </w:t>
      </w:r>
      <w:r w:rsidR="002B4DC1">
        <w:rPr>
          <w:rFonts w:asciiTheme="minorHAnsi" w:hAnsiTheme="minorHAnsi"/>
        </w:rPr>
        <w:t xml:space="preserve">firm </w:t>
      </w:r>
      <w:r w:rsidRPr="00DC58FF">
        <w:rPr>
          <w:rFonts w:asciiTheme="minorHAnsi" w:hAnsiTheme="minorHAnsi"/>
        </w:rPr>
        <w:t>recommendations</w:t>
      </w:r>
      <w:r>
        <w:rPr>
          <w:rFonts w:asciiTheme="minorHAnsi" w:hAnsiTheme="minorHAnsi" w:cs="Arial"/>
        </w:rPr>
        <w:t xml:space="preserve"> </w:t>
      </w:r>
      <w:r w:rsidR="002B4DC1">
        <w:rPr>
          <w:rFonts w:asciiTheme="minorHAnsi" w:hAnsiTheme="minorHAnsi" w:cs="Arial"/>
        </w:rPr>
        <w:t xml:space="preserve">and timescales </w:t>
      </w:r>
      <w:r>
        <w:rPr>
          <w:rFonts w:asciiTheme="minorHAnsi" w:hAnsiTheme="minorHAnsi" w:cs="Arial"/>
        </w:rPr>
        <w:t>for change</w:t>
      </w:r>
    </w:p>
    <w:p w14:paraId="6C26E195" w14:textId="77777777" w:rsidR="00570EC9" w:rsidRDefault="00570EC9" w:rsidP="00570EC9">
      <w:pPr>
        <w:textAlignment w:val="auto"/>
        <w:rPr>
          <w:rFonts w:asciiTheme="minorHAnsi" w:hAnsiTheme="minorHAnsi" w:cs="Arial"/>
        </w:rPr>
      </w:pPr>
    </w:p>
    <w:p w14:paraId="2AA8F7A2" w14:textId="77777777" w:rsidR="00570EC9" w:rsidRDefault="00570EC9" w:rsidP="00570EC9">
      <w:pPr>
        <w:pStyle w:val="Heading3"/>
      </w:pPr>
      <w:r>
        <w:t>Stakeholders</w:t>
      </w:r>
    </w:p>
    <w:p w14:paraId="2F30C7E9" w14:textId="77777777" w:rsidR="00570EC9" w:rsidRPr="00570EC9" w:rsidRDefault="00570EC9" w:rsidP="00570EC9">
      <w:pPr>
        <w:pStyle w:val="Heading3"/>
        <w:keepLines/>
        <w:numPr>
          <w:ilvl w:val="0"/>
          <w:numId w:val="5"/>
        </w:numPr>
        <w:spacing w:before="40"/>
        <w:rPr>
          <w:rFonts w:asciiTheme="minorHAnsi" w:hAnsiTheme="minorHAnsi"/>
          <w:b w:val="0"/>
          <w:color w:val="auto"/>
        </w:rPr>
      </w:pPr>
      <w:r w:rsidRPr="00570EC9">
        <w:rPr>
          <w:rFonts w:asciiTheme="minorHAnsi" w:hAnsiTheme="minorHAnsi"/>
          <w:b w:val="0"/>
          <w:color w:val="auto"/>
        </w:rPr>
        <w:t>Students and their advisers</w:t>
      </w:r>
    </w:p>
    <w:p w14:paraId="7D72091C" w14:textId="262AD250" w:rsidR="00570EC9" w:rsidRPr="00570EC9" w:rsidRDefault="00570EC9" w:rsidP="00570EC9">
      <w:pPr>
        <w:pStyle w:val="Heading3"/>
        <w:keepLines/>
        <w:numPr>
          <w:ilvl w:val="0"/>
          <w:numId w:val="5"/>
        </w:numPr>
        <w:spacing w:before="40"/>
        <w:rPr>
          <w:rFonts w:asciiTheme="minorHAnsi" w:hAnsiTheme="minorHAnsi"/>
          <w:b w:val="0"/>
          <w:color w:val="auto"/>
        </w:rPr>
      </w:pPr>
      <w:r w:rsidRPr="00570EC9">
        <w:rPr>
          <w:rFonts w:asciiTheme="minorHAnsi" w:hAnsiTheme="minorHAnsi"/>
          <w:b w:val="0"/>
          <w:color w:val="auto"/>
        </w:rPr>
        <w:t>HE sector: senior leaders; planners; student careers and employability professionals; and researchers</w:t>
      </w:r>
    </w:p>
    <w:p w14:paraId="1AD484B7" w14:textId="77777777" w:rsidR="00570EC9" w:rsidRPr="00570EC9" w:rsidRDefault="00570EC9" w:rsidP="00570EC9">
      <w:pPr>
        <w:pStyle w:val="Heading3"/>
        <w:keepLines/>
        <w:numPr>
          <w:ilvl w:val="0"/>
          <w:numId w:val="5"/>
        </w:numPr>
        <w:spacing w:before="40"/>
        <w:rPr>
          <w:rFonts w:asciiTheme="minorHAnsi" w:hAnsiTheme="minorHAnsi"/>
          <w:b w:val="0"/>
          <w:color w:val="auto"/>
        </w:rPr>
      </w:pPr>
      <w:r w:rsidRPr="00570EC9">
        <w:rPr>
          <w:rFonts w:asciiTheme="minorHAnsi" w:hAnsiTheme="minorHAnsi"/>
          <w:b w:val="0"/>
          <w:color w:val="auto"/>
        </w:rPr>
        <w:t>Government</w:t>
      </w:r>
    </w:p>
    <w:p w14:paraId="65F4189A" w14:textId="77777777" w:rsidR="00570EC9" w:rsidRPr="00E56274" w:rsidRDefault="00570EC9" w:rsidP="00570EC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570EC9">
        <w:rPr>
          <w:rFonts w:asciiTheme="minorHAnsi" w:hAnsiTheme="minorHAnsi"/>
        </w:rPr>
        <w:t>Other users of destinations</w:t>
      </w:r>
      <w:r w:rsidRPr="00E56274">
        <w:rPr>
          <w:rFonts w:asciiTheme="minorHAnsi" w:hAnsiTheme="minorHAnsi"/>
        </w:rPr>
        <w:t xml:space="preserve"> and outcomes data</w:t>
      </w:r>
    </w:p>
    <w:p w14:paraId="6060A7A8" w14:textId="77777777" w:rsidR="00570EC9" w:rsidRPr="00DC58FF" w:rsidRDefault="00570EC9" w:rsidP="00570EC9">
      <w:pPr>
        <w:rPr>
          <w:rFonts w:asciiTheme="minorHAnsi" w:hAnsiTheme="minorHAnsi"/>
          <w:sz w:val="24"/>
          <w:szCs w:val="24"/>
        </w:rPr>
      </w:pPr>
    </w:p>
    <w:p w14:paraId="770CBE75" w14:textId="77777777" w:rsidR="00570EC9" w:rsidRDefault="00570EC9" w:rsidP="00570EC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Strategic Group</w:t>
      </w:r>
    </w:p>
    <w:p w14:paraId="3EF373F5" w14:textId="77777777" w:rsidR="00570EC9" w:rsidRDefault="00570EC9" w:rsidP="00570EC9">
      <w:pPr>
        <w:rPr>
          <w:rFonts w:asciiTheme="minorHAnsi" w:hAnsiTheme="minorHAnsi"/>
        </w:rPr>
      </w:pPr>
      <w:r w:rsidRPr="00D12C2C">
        <w:rPr>
          <w:rFonts w:asciiTheme="minorHAnsi" w:hAnsiTheme="minorHAnsi"/>
        </w:rPr>
        <w:t>There will be</w:t>
      </w:r>
      <w:r>
        <w:rPr>
          <w:rFonts w:asciiTheme="minorHAnsi" w:hAnsiTheme="minorHAnsi"/>
        </w:rPr>
        <w:t xml:space="preserve"> a Strategic Group, comprised of senior figures drawn from across the spectrum of data suppliers and principal data users, each with a strategic interest in the outcomes of the review, and the capacity to advocate for implementation of its outcomes.</w:t>
      </w:r>
    </w:p>
    <w:p w14:paraId="1913D3E6" w14:textId="77777777" w:rsidR="00673B59" w:rsidRDefault="00673B59" w:rsidP="00570EC9">
      <w:pPr>
        <w:rPr>
          <w:rFonts w:asciiTheme="minorHAnsi" w:hAnsiTheme="minorHAnsi"/>
        </w:rPr>
      </w:pPr>
    </w:p>
    <w:p w14:paraId="3FB5E2DE" w14:textId="77777777" w:rsidR="00673B59" w:rsidRDefault="00673B59" w:rsidP="00673B59">
      <w:pPr>
        <w:rPr>
          <w:rFonts w:asciiTheme="minorHAnsi" w:hAnsiTheme="minorHAnsi"/>
        </w:rPr>
      </w:pPr>
      <w:r>
        <w:rPr>
          <w:rFonts w:asciiTheme="minorHAnsi" w:hAnsiTheme="minorHAnsi"/>
        </w:rPr>
        <w:t>The Strategic Group has the following principal responsibilities:</w:t>
      </w:r>
    </w:p>
    <w:p w14:paraId="3FCD2C33" w14:textId="77777777" w:rsidR="00673B59" w:rsidRDefault="00673B59" w:rsidP="00673B5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agree the remit for the review</w:t>
      </w:r>
    </w:p>
    <w:p w14:paraId="3D257A4B" w14:textId="77777777" w:rsidR="00673B59" w:rsidRDefault="00673B59" w:rsidP="00673B5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approve the business case produced by the Working Group</w:t>
      </w:r>
    </w:p>
    <w:p w14:paraId="28B4EB5C" w14:textId="60B68C31" w:rsidR="00673B59" w:rsidRPr="00673B59" w:rsidRDefault="00673B59" w:rsidP="00570EC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advocate for implementation</w:t>
      </w:r>
    </w:p>
    <w:p w14:paraId="1CB455BF" w14:textId="77777777" w:rsidR="00570EC9" w:rsidRDefault="00570EC9" w:rsidP="00570EC9">
      <w:pPr>
        <w:rPr>
          <w:rFonts w:asciiTheme="minorHAnsi" w:hAnsiTheme="minorHAnsi"/>
        </w:rPr>
      </w:pPr>
    </w:p>
    <w:p w14:paraId="4D4A4EC3" w14:textId="344B3572" w:rsidR="00570EC9" w:rsidRDefault="00570EC9" w:rsidP="00570EC9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Strategic Group will be chaired by the Chief Executive of HESA, or one of its </w:t>
      </w:r>
      <w:r w:rsidR="00673B59">
        <w:rPr>
          <w:rFonts w:asciiTheme="minorHAnsi" w:hAnsiTheme="minorHAnsi"/>
        </w:rPr>
        <w:t>D</w:t>
      </w:r>
      <w:r>
        <w:rPr>
          <w:rFonts w:asciiTheme="minorHAnsi" w:hAnsiTheme="minorHAnsi"/>
        </w:rPr>
        <w:t>irectors.</w:t>
      </w:r>
    </w:p>
    <w:p w14:paraId="36BC6888" w14:textId="77777777" w:rsidR="00570EC9" w:rsidRDefault="00570EC9" w:rsidP="00570EC9">
      <w:pPr>
        <w:rPr>
          <w:rFonts w:asciiTheme="minorHAnsi" w:hAnsiTheme="minorHAnsi"/>
        </w:rPr>
      </w:pPr>
    </w:p>
    <w:tbl>
      <w:tblPr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7228"/>
      </w:tblGrid>
      <w:tr w:rsidR="00673B59" w14:paraId="69B6D212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04ED2" w14:textId="0713D9FD" w:rsidR="00673B59" w:rsidRDefault="00673B59">
            <w:r>
              <w:rPr>
                <w:rStyle w:val="Strong"/>
              </w:rPr>
              <w:t>Member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B70A" w14:textId="77777777" w:rsidR="00673B59" w:rsidRDefault="00673B59">
            <w:r>
              <w:rPr>
                <w:rStyle w:val="Strong"/>
              </w:rPr>
              <w:t>Organisation</w:t>
            </w:r>
          </w:p>
        </w:tc>
      </w:tr>
      <w:tr w:rsidR="00673B59" w14:paraId="1EEEE37A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FBC5" w14:textId="77777777" w:rsidR="00673B59" w:rsidRDefault="00673B59">
            <w:r>
              <w:t>Lisa Calderwood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87860" w14:textId="77777777" w:rsidR="00673B59" w:rsidRDefault="00673B59">
            <w:r>
              <w:t>UCL Institute of Education</w:t>
            </w:r>
          </w:p>
        </w:tc>
      </w:tr>
      <w:tr w:rsidR="00673B59" w14:paraId="7795131E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88AD" w14:textId="77777777" w:rsidR="00673B59" w:rsidRDefault="00673B59">
            <w:r>
              <w:t>Claire Callender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D2805" w14:textId="77777777" w:rsidR="00673B59" w:rsidRDefault="00673B59">
            <w:r>
              <w:t>UCL Institute of Education and Birkbeck University</w:t>
            </w:r>
          </w:p>
        </w:tc>
      </w:tr>
      <w:tr w:rsidR="00673B59" w14:paraId="4C055C8B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B54CB" w14:textId="77777777" w:rsidR="00673B59" w:rsidRDefault="00673B59">
            <w:r>
              <w:t>Siobhan Carey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0C2FE" w14:textId="77777777" w:rsidR="00673B59" w:rsidRDefault="00673B59">
            <w:r>
              <w:t>Department of Business, Innovation and Skills</w:t>
            </w:r>
          </w:p>
        </w:tc>
      </w:tr>
      <w:tr w:rsidR="00673B59" w14:paraId="1B4A33B1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C2B46" w14:textId="77777777" w:rsidR="00673B59" w:rsidRDefault="00673B59">
            <w:r>
              <w:t>Michael Clarke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4C9B0" w14:textId="77777777" w:rsidR="00673B59" w:rsidRDefault="00673B59">
            <w:r>
              <w:t>University of London, Careers Group</w:t>
            </w:r>
          </w:p>
        </w:tc>
      </w:tr>
      <w:tr w:rsidR="00673B59" w14:paraId="09928F7B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BD1C" w14:textId="77777777" w:rsidR="00673B59" w:rsidRDefault="00673B59">
            <w:r>
              <w:t>Jackie Cresswell-Griffith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C8A4E" w14:textId="77777777" w:rsidR="00673B59" w:rsidRDefault="00673B59">
            <w:r>
              <w:t>Higher Education Funding Council for Wales</w:t>
            </w:r>
          </w:p>
        </w:tc>
      </w:tr>
      <w:tr w:rsidR="00673B59" w14:paraId="3278C2D2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1D8D" w14:textId="77777777" w:rsidR="00673B59" w:rsidRDefault="00673B59">
            <w:r>
              <w:t>Rosa Fernandez 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8914" w14:textId="77777777" w:rsidR="00673B59" w:rsidRDefault="00673B59">
            <w:r>
              <w:t>National Centre for Universities and Business</w:t>
            </w:r>
          </w:p>
        </w:tc>
      </w:tr>
      <w:tr w:rsidR="00673B59" w14:paraId="60A6575F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C42F" w14:textId="77777777" w:rsidR="00673B59" w:rsidRDefault="00673B59">
            <w:r>
              <w:t>Helen Mansfield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2D5F" w14:textId="77777777" w:rsidR="00673B59" w:rsidRDefault="00673B59">
            <w:r>
              <w:t>Health Education England</w:t>
            </w:r>
          </w:p>
        </w:tc>
      </w:tr>
      <w:tr w:rsidR="00673B59" w14:paraId="2035777A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2CAC0" w14:textId="77777777" w:rsidR="00673B59" w:rsidRDefault="00673B59">
            <w:r>
              <w:t>Chris Millward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90F87" w14:textId="77777777" w:rsidR="00673B59" w:rsidRDefault="00673B59">
            <w:r>
              <w:t>Higher Education Funding Council for England</w:t>
            </w:r>
          </w:p>
        </w:tc>
      </w:tr>
      <w:tr w:rsidR="00673B59" w14:paraId="0E5ED69D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3719" w14:textId="77777777" w:rsidR="00673B59" w:rsidRDefault="00673B59">
            <w:r>
              <w:t>Eileen Schofield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8144" w14:textId="77777777" w:rsidR="00673B59" w:rsidRDefault="00673B59">
            <w:r>
              <w:t>University of Stirling/Association of Heads of University Administration </w:t>
            </w:r>
          </w:p>
        </w:tc>
      </w:tr>
      <w:tr w:rsidR="00673B59" w14:paraId="351E8B7E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EE65" w14:textId="77777777" w:rsidR="00673B59" w:rsidRDefault="00673B59">
            <w:r>
              <w:t>Ryan Scott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57CB8" w14:textId="77777777" w:rsidR="00673B59" w:rsidRDefault="00673B59">
            <w:r>
              <w:t>Scottish Government</w:t>
            </w:r>
          </w:p>
        </w:tc>
      </w:tr>
      <w:tr w:rsidR="00673B59" w14:paraId="161DF1EA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A22C8" w14:textId="77777777" w:rsidR="00673B59" w:rsidRDefault="00673B59">
            <w:r>
              <w:t>Judith Shaw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53D6" w14:textId="77777777" w:rsidR="00673B59" w:rsidRDefault="00673B59">
            <w:r>
              <w:t>Department for Employment and Learning (Northern Ireland)</w:t>
            </w:r>
          </w:p>
        </w:tc>
      </w:tr>
      <w:tr w:rsidR="00673B59" w14:paraId="721E681A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6831" w14:textId="77777777" w:rsidR="00673B59" w:rsidRDefault="00673B59">
            <w:r>
              <w:t>Martin Smith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CC88" w14:textId="77777777" w:rsidR="00673B59" w:rsidRDefault="00673B59">
            <w:r>
              <w:t>Scottish Funding Council</w:t>
            </w:r>
          </w:p>
        </w:tc>
      </w:tr>
      <w:tr w:rsidR="00673B59" w14:paraId="07F08554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A077" w14:textId="77777777" w:rsidR="00673B59" w:rsidRDefault="00673B59">
            <w:r>
              <w:t>Gary Sprules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A1D1" w14:textId="77777777" w:rsidR="00673B59" w:rsidRDefault="00673B59">
            <w:r>
              <w:t>University of the Arts, London/Higher Education Strategic Planners Association</w:t>
            </w:r>
          </w:p>
        </w:tc>
      </w:tr>
      <w:tr w:rsidR="00673B59" w14:paraId="33457785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960C" w14:textId="77777777" w:rsidR="00673B59" w:rsidRDefault="00673B59">
            <w:r>
              <w:t>Andrew Whitmore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1C7B" w14:textId="77777777" w:rsidR="00673B59" w:rsidRDefault="00673B59">
            <w:r>
              <w:t>University of Manchester/Association of Graduate Careers Advisory Services</w:t>
            </w:r>
          </w:p>
        </w:tc>
      </w:tr>
      <w:tr w:rsidR="00673B59" w14:paraId="6FEFBA53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052F" w14:textId="77777777" w:rsidR="00673B59" w:rsidRDefault="00673B59">
            <w:r>
              <w:t>Chris Williams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83B7" w14:textId="77777777" w:rsidR="00673B59" w:rsidRDefault="00673B59">
            <w:r>
              <w:t>Welsh Assembly Government</w:t>
            </w:r>
          </w:p>
        </w:tc>
      </w:tr>
      <w:tr w:rsidR="00673B59" w14:paraId="29272F62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C00DB" w14:textId="77777777" w:rsidR="00673B59" w:rsidRDefault="00673B59">
            <w:r>
              <w:t>Kim Williams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B164" w14:textId="77777777" w:rsidR="00673B59" w:rsidRDefault="00673B59">
            <w:r>
              <w:t>National College for Teaching and Leadership</w:t>
            </w:r>
          </w:p>
        </w:tc>
      </w:tr>
      <w:tr w:rsidR="00673B59" w14:paraId="5172947D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18536" w14:textId="77777777" w:rsidR="00673B59" w:rsidRDefault="00673B59">
            <w:r>
              <w:t>TBC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054D0" w14:textId="77777777" w:rsidR="00673B59" w:rsidRDefault="00673B59">
            <w:r>
              <w:t>National Union of Students</w:t>
            </w:r>
          </w:p>
        </w:tc>
      </w:tr>
      <w:tr w:rsidR="00673B59" w14:paraId="64C5C09F" w14:textId="77777777" w:rsidTr="00673B59">
        <w:trPr>
          <w:tblCellSpacing w:w="15" w:type="dxa"/>
        </w:trPr>
        <w:tc>
          <w:tcPr>
            <w:tcW w:w="1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772F3" w14:textId="77777777" w:rsidR="00673B59" w:rsidRDefault="00673B59">
            <w:r>
              <w:t>Keith Zimmerman</w:t>
            </w:r>
          </w:p>
        </w:tc>
        <w:tc>
          <w:tcPr>
            <w:tcW w:w="3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1B191" w14:textId="77777777" w:rsidR="00673B59" w:rsidRDefault="00673B59">
            <w:r>
              <w:t>Open University</w:t>
            </w:r>
          </w:p>
        </w:tc>
      </w:tr>
    </w:tbl>
    <w:p w14:paraId="60880AC9" w14:textId="77777777" w:rsidR="00570EC9" w:rsidRDefault="00570EC9" w:rsidP="00570EC9">
      <w:pPr>
        <w:rPr>
          <w:rFonts w:asciiTheme="minorHAnsi" w:hAnsiTheme="minorHAnsi"/>
        </w:rPr>
      </w:pPr>
    </w:p>
    <w:p w14:paraId="5E129B88" w14:textId="77777777" w:rsidR="00570EC9" w:rsidRDefault="00570EC9" w:rsidP="00570EC9">
      <w:pPr>
        <w:rPr>
          <w:rFonts w:asciiTheme="minorHAnsi" w:hAnsiTheme="minorHAnsi"/>
        </w:rPr>
      </w:pPr>
      <w:r>
        <w:rPr>
          <w:rFonts w:asciiTheme="minorHAnsi" w:hAnsiTheme="minorHAnsi"/>
        </w:rPr>
        <w:t>The Strategic Group has the following principal responsibilities:</w:t>
      </w:r>
    </w:p>
    <w:p w14:paraId="0AE59A6F" w14:textId="01C53E4D" w:rsidR="00570EC9" w:rsidRDefault="00570EC9" w:rsidP="00570EC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agree the remit for the review</w:t>
      </w:r>
      <w:r w:rsidR="0040687C">
        <w:rPr>
          <w:rFonts w:asciiTheme="minorHAnsi" w:hAnsiTheme="minorHAnsi"/>
        </w:rPr>
        <w:t xml:space="preserve"> and the questions that will be answered</w:t>
      </w:r>
    </w:p>
    <w:p w14:paraId="256248A0" w14:textId="70E14A03" w:rsidR="00570EC9" w:rsidRDefault="00570EC9" w:rsidP="00570EC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</w:t>
      </w:r>
      <w:r w:rsidR="0040687C">
        <w:rPr>
          <w:rFonts w:asciiTheme="minorHAnsi" w:hAnsiTheme="minorHAnsi"/>
        </w:rPr>
        <w:t xml:space="preserve">receive and </w:t>
      </w:r>
      <w:r>
        <w:rPr>
          <w:rFonts w:asciiTheme="minorHAnsi" w:hAnsiTheme="minorHAnsi"/>
        </w:rPr>
        <w:t>approve the business case produced by the Working Group</w:t>
      </w:r>
    </w:p>
    <w:p w14:paraId="4688F3B9" w14:textId="77777777" w:rsidR="00570EC9" w:rsidRPr="003763C7" w:rsidRDefault="00570EC9" w:rsidP="00570EC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advocate for implementation</w:t>
      </w:r>
    </w:p>
    <w:p w14:paraId="0EFAD2A2" w14:textId="77777777" w:rsidR="00570EC9" w:rsidRDefault="00570EC9" w:rsidP="00570EC9">
      <w:pPr>
        <w:rPr>
          <w:rFonts w:asciiTheme="minorHAnsi" w:hAnsiTheme="minorHAnsi"/>
        </w:rPr>
      </w:pPr>
    </w:p>
    <w:p w14:paraId="476F3CD6" w14:textId="77777777" w:rsidR="00570EC9" w:rsidRDefault="00570EC9" w:rsidP="00570EC9">
      <w:pPr>
        <w:rPr>
          <w:rFonts w:asciiTheme="minorHAnsi" w:hAnsiTheme="minorHAnsi"/>
        </w:rPr>
      </w:pPr>
    </w:p>
    <w:p w14:paraId="117DA920" w14:textId="77777777" w:rsidR="00570EC9" w:rsidRDefault="00570EC9" w:rsidP="00570EC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Working Group</w:t>
      </w:r>
    </w:p>
    <w:p w14:paraId="1CCDD9C3" w14:textId="77777777" w:rsidR="00570EC9" w:rsidRDefault="00570EC9" w:rsidP="00570EC9">
      <w:pPr>
        <w:rPr>
          <w:rFonts w:asciiTheme="minorHAnsi" w:hAnsiTheme="minorHAnsi"/>
        </w:rPr>
      </w:pPr>
      <w:r w:rsidRPr="00D12C2C">
        <w:rPr>
          <w:rFonts w:asciiTheme="minorHAnsi" w:hAnsiTheme="minorHAnsi"/>
        </w:rPr>
        <w:t xml:space="preserve">There will be </w:t>
      </w:r>
      <w:r>
        <w:rPr>
          <w:rFonts w:asciiTheme="minorHAnsi" w:hAnsiTheme="minorHAnsi"/>
        </w:rPr>
        <w:t>a W</w:t>
      </w:r>
      <w:r w:rsidRPr="00D12C2C">
        <w:rPr>
          <w:rFonts w:asciiTheme="minorHAnsi" w:hAnsiTheme="minorHAnsi"/>
        </w:rPr>
        <w:t xml:space="preserve">orking </w:t>
      </w:r>
      <w:r>
        <w:rPr>
          <w:rFonts w:asciiTheme="minorHAnsi" w:hAnsiTheme="minorHAnsi"/>
        </w:rPr>
        <w:t>Group, comprised of knowledgeable and experienced individuals drawn from across the spectrum of data suppliers and principal data users, each with the capability to develop and refine proposals for inclusion in a business case.</w:t>
      </w:r>
    </w:p>
    <w:p w14:paraId="7DB4F371" w14:textId="77777777" w:rsidR="00673B59" w:rsidRDefault="00673B59" w:rsidP="00570EC9">
      <w:pPr>
        <w:rPr>
          <w:rFonts w:asciiTheme="minorHAnsi" w:hAnsiTheme="minorHAnsi"/>
        </w:rPr>
      </w:pPr>
    </w:p>
    <w:p w14:paraId="2527AA17" w14:textId="77777777" w:rsidR="00673B59" w:rsidRDefault="00673B59" w:rsidP="00673B59">
      <w:pPr>
        <w:rPr>
          <w:rFonts w:asciiTheme="minorHAnsi" w:hAnsiTheme="minorHAnsi"/>
        </w:rPr>
      </w:pPr>
      <w:r>
        <w:rPr>
          <w:rFonts w:asciiTheme="minorHAnsi" w:hAnsiTheme="minorHAnsi"/>
        </w:rPr>
        <w:t>The Working Group will be chaired by the Head of Collections Development at HESA.</w:t>
      </w:r>
    </w:p>
    <w:p w14:paraId="2027DCF7" w14:textId="77777777" w:rsidR="00570EC9" w:rsidRDefault="00570EC9" w:rsidP="00570EC9">
      <w:pPr>
        <w:rPr>
          <w:rFonts w:asciiTheme="minorHAnsi" w:hAnsiTheme="minorHAnsi"/>
        </w:rPr>
      </w:pPr>
    </w:p>
    <w:tbl>
      <w:tblPr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7373"/>
      </w:tblGrid>
      <w:tr w:rsidR="00673B59" w:rsidRPr="00673B59" w14:paraId="42EE5225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B1E7" w14:textId="1CC1181A" w:rsidR="00673B59" w:rsidRPr="00673B59" w:rsidRDefault="00673B59" w:rsidP="00673B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Member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3B5B2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  <w:b/>
                <w:bCs/>
              </w:rPr>
              <w:t>Organisation</w:t>
            </w:r>
          </w:p>
        </w:tc>
      </w:tr>
      <w:tr w:rsidR="00673B59" w:rsidRPr="00673B59" w14:paraId="1C58E5EA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1F2C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Charlie Ball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2AAA2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Higher Education Careers Service Unit/Prospects</w:t>
            </w:r>
          </w:p>
        </w:tc>
      </w:tr>
      <w:tr w:rsidR="00673B59" w:rsidRPr="00673B59" w14:paraId="06B869C8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0C6A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Matthew Bollington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E0025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Department of Business, Innovation and Skills</w:t>
            </w:r>
          </w:p>
        </w:tc>
      </w:tr>
      <w:tr w:rsidR="00673B59" w:rsidRPr="00673B59" w14:paraId="27224240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C511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Heather Burton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B0BD9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Queens University Belfast</w:t>
            </w:r>
          </w:p>
        </w:tc>
      </w:tr>
      <w:tr w:rsidR="00673B59" w:rsidRPr="00673B59" w14:paraId="00B0C5C0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4507D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Hannah Falvey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B0F1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Higher Education Funding Council for Wales</w:t>
            </w:r>
          </w:p>
        </w:tc>
      </w:tr>
      <w:tr w:rsidR="00673B59" w:rsidRPr="00673B59" w14:paraId="2CFB4104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1312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Rosa Fernandez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557C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National Centre for Universities and Business</w:t>
            </w:r>
          </w:p>
        </w:tc>
      </w:tr>
      <w:tr w:rsidR="00673B59" w:rsidRPr="00673B59" w14:paraId="3AEBF2D3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9F2CF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David Hutton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4C1CF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Brighton Institute Of Modern Music</w:t>
            </w:r>
          </w:p>
        </w:tc>
      </w:tr>
      <w:tr w:rsidR="002F0A91" w:rsidRPr="00673B59" w14:paraId="33E234C3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2545E" w14:textId="1EB1D854" w:rsidR="002F0A91" w:rsidRPr="00673B59" w:rsidRDefault="002F0A91" w:rsidP="002F0A91">
            <w:pPr>
              <w:rPr>
                <w:rFonts w:asciiTheme="minorHAnsi" w:hAnsiTheme="minorHAnsi"/>
              </w:rPr>
            </w:pPr>
            <w:r w:rsidRPr="002F0A91">
              <w:rPr>
                <w:rFonts w:asciiTheme="minorHAnsi" w:hAnsiTheme="minorHAnsi"/>
              </w:rPr>
              <w:t>Anita Jackson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B56EB" w14:textId="52CD8CA7" w:rsidR="002F0A91" w:rsidRPr="00673B59" w:rsidRDefault="002F0A91" w:rsidP="00673B59">
            <w:pPr>
              <w:rPr>
                <w:rFonts w:asciiTheme="minorHAnsi" w:hAnsiTheme="minorHAnsi"/>
              </w:rPr>
            </w:pPr>
            <w:r w:rsidRPr="002F0A91">
              <w:rPr>
                <w:rFonts w:asciiTheme="minorHAnsi" w:hAnsiTheme="minorHAnsi"/>
              </w:rPr>
              <w:t>University of Kent/Higher Education Strategic Planners Association</w:t>
            </w:r>
          </w:p>
        </w:tc>
      </w:tr>
      <w:tr w:rsidR="00673B59" w:rsidRPr="00673B59" w14:paraId="78446EDA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4D37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Lindsey Johnson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F22D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Health Education England</w:t>
            </w:r>
          </w:p>
        </w:tc>
      </w:tr>
      <w:tr w:rsidR="00673B59" w:rsidRPr="00673B59" w14:paraId="6FE0724C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D9E79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lastRenderedPageBreak/>
              <w:t>Nicola Kivlichan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57CC5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Edinburgh Napier University</w:t>
            </w:r>
          </w:p>
        </w:tc>
      </w:tr>
      <w:tr w:rsidR="00673B59" w:rsidRPr="00673B59" w14:paraId="6FA32706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DBA8F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Michael McNeill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B79F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Department for Employment and Learning (Northern Ireland)</w:t>
            </w:r>
          </w:p>
        </w:tc>
      </w:tr>
      <w:tr w:rsidR="00673B59" w:rsidRPr="00673B59" w14:paraId="65C3A238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1055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Richard Puttock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87029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Higher Education Funding Council for England</w:t>
            </w:r>
          </w:p>
        </w:tc>
      </w:tr>
      <w:tr w:rsidR="00673B59" w:rsidRPr="00673B59" w14:paraId="670A7EE2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71B8F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Andrew Whitmore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23AE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University of Manchester/Association of Graduate Careers Advisory Services</w:t>
            </w:r>
          </w:p>
        </w:tc>
      </w:tr>
      <w:tr w:rsidR="00673B59" w:rsidRPr="00673B59" w14:paraId="18683349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2988B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Chris Williams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2CA51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Welsh Assembly Government</w:t>
            </w:r>
          </w:p>
        </w:tc>
      </w:tr>
      <w:tr w:rsidR="00673B59" w:rsidRPr="00673B59" w14:paraId="7FB4510D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3149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Kim Williams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BF73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National College of Teaching and Leadership</w:t>
            </w:r>
          </w:p>
        </w:tc>
      </w:tr>
      <w:tr w:rsidR="00673B59" w:rsidRPr="00673B59" w14:paraId="57C95B5E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65B5B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Kenny Wilson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B80CE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Scottish Funding Council</w:t>
            </w:r>
          </w:p>
        </w:tc>
      </w:tr>
      <w:tr w:rsidR="00673B59" w:rsidRPr="00673B59" w14:paraId="678B60A4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FACA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Mike Wilson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C08D2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Bangor University</w:t>
            </w:r>
          </w:p>
        </w:tc>
      </w:tr>
      <w:tr w:rsidR="00673B59" w:rsidRPr="00673B59" w14:paraId="2401985C" w14:textId="77777777" w:rsidTr="00673B59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5342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Paul Youngson</w:t>
            </w:r>
          </w:p>
        </w:tc>
        <w:tc>
          <w:tcPr>
            <w:tcW w:w="3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0974" w14:textId="77777777" w:rsidR="00673B59" w:rsidRPr="00673B59" w:rsidRDefault="00673B59" w:rsidP="00673B59">
            <w:pPr>
              <w:rPr>
                <w:rFonts w:asciiTheme="minorHAnsi" w:hAnsiTheme="minorHAnsi"/>
              </w:rPr>
            </w:pPr>
            <w:r w:rsidRPr="00673B59">
              <w:rPr>
                <w:rFonts w:asciiTheme="minorHAnsi" w:hAnsiTheme="minorHAnsi"/>
              </w:rPr>
              <w:t>University of Huddersfield</w:t>
            </w:r>
          </w:p>
        </w:tc>
      </w:tr>
    </w:tbl>
    <w:p w14:paraId="1F9E626E" w14:textId="77777777" w:rsidR="00673B59" w:rsidRDefault="00673B59" w:rsidP="00570EC9">
      <w:pPr>
        <w:rPr>
          <w:rFonts w:asciiTheme="minorHAnsi" w:hAnsiTheme="minorHAnsi"/>
        </w:rPr>
      </w:pPr>
    </w:p>
    <w:p w14:paraId="1A32CD30" w14:textId="77777777" w:rsidR="00673B59" w:rsidRDefault="00673B59" w:rsidP="00570EC9">
      <w:pPr>
        <w:rPr>
          <w:rFonts w:asciiTheme="minorHAnsi" w:hAnsiTheme="minorHAnsi"/>
        </w:rPr>
      </w:pPr>
    </w:p>
    <w:p w14:paraId="3454C261" w14:textId="77777777" w:rsidR="00570EC9" w:rsidRDefault="00570EC9" w:rsidP="00570EC9">
      <w:pPr>
        <w:rPr>
          <w:rFonts w:asciiTheme="minorHAnsi" w:hAnsiTheme="minorHAnsi"/>
        </w:rPr>
      </w:pPr>
      <w:r>
        <w:rPr>
          <w:rFonts w:asciiTheme="minorHAnsi" w:hAnsiTheme="minorHAnsi"/>
        </w:rPr>
        <w:t>The Working Group has the following principal responsibilities:</w:t>
      </w:r>
    </w:p>
    <w:p w14:paraId="32B1C421" w14:textId="63DDD4C1" w:rsidR="00570EC9" w:rsidRDefault="6203C60D" w:rsidP="00570EC9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 w:rsidRPr="6203C60D">
        <w:rPr>
          <w:rFonts w:asciiTheme="minorHAnsi" w:eastAsiaTheme="minorEastAsia" w:hAnsiTheme="minorHAnsi" w:cstheme="minorBidi"/>
        </w:rPr>
        <w:t xml:space="preserve">To </w:t>
      </w:r>
      <w:r w:rsidR="00B05485">
        <w:rPr>
          <w:rFonts w:asciiTheme="minorHAnsi" w:eastAsiaTheme="minorEastAsia" w:hAnsiTheme="minorHAnsi" w:cstheme="minorBidi"/>
        </w:rPr>
        <w:t>develop</w:t>
      </w:r>
      <w:r w:rsidRPr="6203C60D">
        <w:rPr>
          <w:rFonts w:asciiTheme="minorHAnsi" w:eastAsiaTheme="minorEastAsia" w:hAnsiTheme="minorHAnsi" w:cstheme="minorBidi"/>
        </w:rPr>
        <w:t xml:space="preserve"> a work programme to</w:t>
      </w:r>
      <w:r w:rsidR="00570EC9" w:rsidRPr="6203C60D">
        <w:rPr>
          <w:rFonts w:asciiTheme="minorHAnsi" w:eastAsiaTheme="minorEastAsia" w:hAnsiTheme="minorHAnsi" w:cstheme="minorBidi"/>
        </w:rPr>
        <w:t xml:space="preserve"> pursue the remit for the review</w:t>
      </w:r>
      <w:r w:rsidR="0040687C">
        <w:rPr>
          <w:rFonts w:asciiTheme="minorHAnsi" w:eastAsiaTheme="minorEastAsia" w:hAnsiTheme="minorHAnsi" w:cstheme="minorBidi"/>
        </w:rPr>
        <w:t xml:space="preserve"> and the questions identified in it</w:t>
      </w:r>
    </w:p>
    <w:p w14:paraId="2C2557D5" w14:textId="2FA74BEA" w:rsidR="00B05485" w:rsidRDefault="00B05485" w:rsidP="00570EC9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To consult with stakeholders</w:t>
      </w:r>
    </w:p>
    <w:p w14:paraId="68BDE500" w14:textId="5C439C05" w:rsidR="00570EC9" w:rsidRDefault="00570EC9" w:rsidP="00570EC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produce a </w:t>
      </w:r>
      <w:r w:rsidR="0040687C">
        <w:rPr>
          <w:rFonts w:asciiTheme="minorHAnsi" w:hAnsiTheme="minorHAnsi"/>
        </w:rPr>
        <w:t xml:space="preserve">compelling </w:t>
      </w:r>
      <w:r>
        <w:rPr>
          <w:rFonts w:asciiTheme="minorHAnsi" w:hAnsiTheme="minorHAnsi"/>
        </w:rPr>
        <w:t>business case for change</w:t>
      </w:r>
    </w:p>
    <w:p w14:paraId="578C2754" w14:textId="56E862DB" w:rsidR="00673B59" w:rsidRPr="00B05485" w:rsidRDefault="00570EC9" w:rsidP="00B0548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To present the business case to the Strategic Group</w:t>
      </w:r>
    </w:p>
    <w:p w14:paraId="14F348AE" w14:textId="77777777" w:rsidR="00570EC9" w:rsidRDefault="00570EC9" w:rsidP="00570EC9">
      <w:pPr>
        <w:rPr>
          <w:rFonts w:asciiTheme="minorHAnsi" w:hAnsiTheme="minorHAnsi"/>
        </w:rPr>
      </w:pPr>
    </w:p>
    <w:p w14:paraId="5437EBC4" w14:textId="77777777" w:rsidR="00570EC9" w:rsidRPr="00AE718F" w:rsidRDefault="00570EC9" w:rsidP="00570EC9">
      <w:pPr>
        <w:rPr>
          <w:rFonts w:asciiTheme="minorHAnsi" w:hAnsiTheme="minorHAnsi"/>
        </w:rPr>
      </w:pPr>
      <w:r>
        <w:rPr>
          <w:rFonts w:asciiTheme="minorHAnsi" w:hAnsiTheme="minorHAnsi"/>
        </w:rPr>
        <w:t>Input will be sought from a wide range of bodies similar to those comprising the Strategic group.</w:t>
      </w:r>
    </w:p>
    <w:p w14:paraId="005C9829" w14:textId="77777777" w:rsidR="00570EC9" w:rsidRDefault="00570EC9" w:rsidP="00570EC9">
      <w:pPr>
        <w:rPr>
          <w:rFonts w:asciiTheme="minorHAnsi" w:hAnsiTheme="minorHAnsi"/>
        </w:rPr>
      </w:pPr>
    </w:p>
    <w:p w14:paraId="7B45FF82" w14:textId="5AC49166" w:rsidR="00570EC9" w:rsidRDefault="726C8FC8" w:rsidP="00570EC9">
      <w:pPr>
        <w:pStyle w:val="Heading3"/>
        <w:rPr>
          <w:rFonts w:asciiTheme="minorHAnsi" w:hAnsiTheme="minorHAnsi"/>
        </w:rPr>
      </w:pPr>
      <w:r w:rsidRPr="726C8FC8">
        <w:rPr>
          <w:rFonts w:asciiTheme="minorHAnsi" w:eastAsiaTheme="minorEastAsia" w:hAnsiTheme="minorHAnsi" w:cstheme="minorBidi"/>
        </w:rPr>
        <w:t>Consultation</w:t>
      </w:r>
    </w:p>
    <w:p w14:paraId="47681B49" w14:textId="73DBAD2F" w:rsidR="00570EC9" w:rsidRDefault="726C8FC8" w:rsidP="00570EC9">
      <w:pPr>
        <w:rPr>
          <w:rFonts w:asciiTheme="minorHAnsi" w:hAnsiTheme="minorHAnsi"/>
        </w:rPr>
      </w:pPr>
      <w:r w:rsidRPr="726C8FC8">
        <w:rPr>
          <w:rFonts w:asciiTheme="minorHAnsi" w:eastAsiaTheme="minorEastAsia" w:hAnsiTheme="minorHAnsi" w:cstheme="minorBidi"/>
        </w:rPr>
        <w:t>An engagement event for Vice Chancellors and Principals will be held to gather evidence to support the review.</w:t>
      </w:r>
    </w:p>
    <w:p w14:paraId="7FEB8786" w14:textId="77777777" w:rsidR="00570EC9" w:rsidRDefault="00570EC9" w:rsidP="00570EC9">
      <w:pPr>
        <w:rPr>
          <w:rFonts w:asciiTheme="minorHAnsi" w:hAnsiTheme="minorHAnsi"/>
        </w:rPr>
      </w:pPr>
    </w:p>
    <w:p w14:paraId="09BB0EE0" w14:textId="16B4C8D5" w:rsidR="00570EC9" w:rsidRDefault="726C8FC8" w:rsidP="00570EC9">
      <w:pPr>
        <w:rPr>
          <w:rFonts w:asciiTheme="minorHAnsi" w:hAnsiTheme="minorHAnsi"/>
        </w:rPr>
      </w:pPr>
      <w:r w:rsidRPr="726C8FC8">
        <w:rPr>
          <w:rFonts w:asciiTheme="minorHAnsi" w:eastAsiaTheme="minorEastAsia" w:hAnsiTheme="minorHAnsi" w:cstheme="minorBidi"/>
        </w:rPr>
        <w:t>Online consultations will be used to gather views, and to consult on the business case.</w:t>
      </w:r>
    </w:p>
    <w:p w14:paraId="68367021" w14:textId="77777777" w:rsidR="00570EC9" w:rsidRPr="00B51C84" w:rsidRDefault="00570EC9" w:rsidP="00570EC9">
      <w:pPr>
        <w:rPr>
          <w:rFonts w:asciiTheme="minorHAnsi" w:hAnsiTheme="minorHAnsi"/>
        </w:rPr>
      </w:pPr>
    </w:p>
    <w:p w14:paraId="3A988BBF" w14:textId="36F140A5" w:rsidR="726C8FC8" w:rsidRDefault="726C8FC8">
      <w:pPr>
        <w:rPr>
          <w:rFonts w:asciiTheme="minorHAnsi" w:eastAsiaTheme="minorEastAsia" w:hAnsiTheme="minorHAnsi" w:cstheme="minorBidi"/>
        </w:rPr>
      </w:pPr>
      <w:r w:rsidRPr="726C8FC8">
        <w:rPr>
          <w:rFonts w:asciiTheme="minorHAnsi" w:eastAsiaTheme="minorEastAsia" w:hAnsiTheme="minorHAnsi" w:cstheme="minorBidi"/>
        </w:rPr>
        <w:t>An engagement conference targeting a much wider group of data users will be held as a part of the development of the business case.</w:t>
      </w:r>
    </w:p>
    <w:p w14:paraId="36CDACBD" w14:textId="77777777" w:rsidR="00673B59" w:rsidRDefault="00673B59">
      <w:pPr>
        <w:rPr>
          <w:rFonts w:asciiTheme="minorHAnsi" w:eastAsiaTheme="minorEastAsia" w:hAnsiTheme="minorHAnsi" w:cstheme="minorBidi"/>
        </w:rPr>
      </w:pPr>
    </w:p>
    <w:p w14:paraId="0B68A5BB" w14:textId="77777777" w:rsidR="00673B59" w:rsidRDefault="00673B59"/>
    <w:p w14:paraId="49AA5B28" w14:textId="77777777" w:rsidR="00570EC9" w:rsidRDefault="00570EC9" w:rsidP="00570EC9"/>
    <w:p w14:paraId="77EBFED2" w14:textId="1717E8C4" w:rsidR="00570EC9" w:rsidRPr="00570EC9" w:rsidRDefault="00570EC9" w:rsidP="00570EC9">
      <w:pPr>
        <w:rPr>
          <w:sz w:val="16"/>
          <w:szCs w:val="16"/>
        </w:rPr>
      </w:pPr>
      <w:r w:rsidRPr="00570EC9">
        <w:rPr>
          <w:sz w:val="16"/>
          <w:szCs w:val="16"/>
        </w:rPr>
        <w:t>DC</w:t>
      </w:r>
    </w:p>
    <w:p w14:paraId="4D941035" w14:textId="531E2060" w:rsidR="00570EC9" w:rsidRPr="00570EC9" w:rsidRDefault="00570EC9" w:rsidP="00570EC9">
      <w:pPr>
        <w:rPr>
          <w:sz w:val="16"/>
          <w:szCs w:val="16"/>
        </w:rPr>
      </w:pPr>
      <w:r w:rsidRPr="00570EC9">
        <w:rPr>
          <w:sz w:val="16"/>
          <w:szCs w:val="16"/>
        </w:rPr>
        <w:t>2015-10-29</w:t>
      </w:r>
    </w:p>
    <w:sectPr w:rsidR="00570EC9" w:rsidRPr="00570EC9" w:rsidSect="00324946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257C0" w14:textId="77777777" w:rsidR="00673B59" w:rsidRDefault="00673B59">
      <w:r>
        <w:separator/>
      </w:r>
    </w:p>
  </w:endnote>
  <w:endnote w:type="continuationSeparator" w:id="0">
    <w:p w14:paraId="1144C9F6" w14:textId="77777777" w:rsidR="00673B59" w:rsidRDefault="00673B59">
      <w:r>
        <w:continuationSeparator/>
      </w:r>
    </w:p>
  </w:endnote>
  <w:endnote w:type="continuationNotice" w:id="1">
    <w:p w14:paraId="28D53009" w14:textId="77777777" w:rsidR="00673B59" w:rsidRDefault="00673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1768" w14:textId="77777777" w:rsidR="00673B59" w:rsidRDefault="00673B5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A4C9C9D" w14:textId="77777777" w:rsidR="00673B59" w:rsidRDefault="00673B5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60DD9" w14:textId="77777777" w:rsidR="00673B59" w:rsidRDefault="00673B59">
    <w:pPr>
      <w:ind w:right="-1"/>
      <w:jc w:val="right"/>
    </w:pPr>
    <w:r>
      <w:rPr>
        <w:rFonts w:ascii="Futura Bk BT" w:hAnsi="Futura Bk BT"/>
        <w:noProof/>
        <w:sz w:val="14"/>
        <w:lang w:eastAsia="en-GB"/>
      </w:rPr>
      <w:drawing>
        <wp:anchor distT="0" distB="0" distL="114300" distR="114300" simplePos="0" relativeHeight="251658242" behindDoc="0" locked="0" layoutInCell="1" allowOverlap="1" wp14:anchorId="7B20B4A6" wp14:editId="30BF37B2">
          <wp:simplePos x="0" y="0"/>
          <wp:positionH relativeFrom="column">
            <wp:posOffset>-69850</wp:posOffset>
          </wp:positionH>
          <wp:positionV relativeFrom="paragraph">
            <wp:posOffset>-64770</wp:posOffset>
          </wp:positionV>
          <wp:extent cx="1076325" cy="628650"/>
          <wp:effectExtent l="0" t="0" r="9525" b="0"/>
          <wp:wrapNone/>
          <wp:docPr id="6" name="Picture 6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FE0C36" w14:textId="77777777" w:rsidR="00673B59" w:rsidRDefault="00673B59">
    <w:pPr>
      <w:rPr>
        <w:rFonts w:ascii="Futura Bk BT" w:hAnsi="Futura Bk BT"/>
        <w:sz w:val="14"/>
      </w:rPr>
    </w:pPr>
  </w:p>
  <w:p w14:paraId="442726F1" w14:textId="77777777" w:rsidR="00673B59" w:rsidRPr="00763846" w:rsidRDefault="00673B59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763846">
      <w:rPr>
        <w:rFonts w:ascii="Arial" w:hAnsi="Arial" w:cs="Arial"/>
        <w:sz w:val="14"/>
        <w:szCs w:val="14"/>
      </w:rPr>
      <w:t xml:space="preserve">Page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PAGE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F03853">
      <w:rPr>
        <w:rStyle w:val="PageNumber"/>
        <w:rFonts w:cs="Arial"/>
        <w:noProof/>
        <w:sz w:val="14"/>
        <w:szCs w:val="14"/>
      </w:rPr>
      <w:t>3</w:t>
    </w:r>
    <w:r w:rsidRPr="00763846">
      <w:rPr>
        <w:rStyle w:val="PageNumber"/>
        <w:rFonts w:cs="Arial"/>
        <w:sz w:val="14"/>
        <w:szCs w:val="14"/>
      </w:rPr>
      <w:fldChar w:fldCharType="end"/>
    </w:r>
    <w:r w:rsidRPr="00763846">
      <w:rPr>
        <w:rStyle w:val="PageNumber"/>
        <w:rFonts w:cs="Arial"/>
        <w:sz w:val="14"/>
        <w:szCs w:val="14"/>
      </w:rPr>
      <w:t xml:space="preserve"> of </w:t>
    </w:r>
    <w:r w:rsidRPr="00763846">
      <w:rPr>
        <w:rStyle w:val="PageNumber"/>
        <w:rFonts w:cs="Arial"/>
        <w:sz w:val="14"/>
        <w:szCs w:val="14"/>
      </w:rPr>
      <w:fldChar w:fldCharType="begin"/>
    </w:r>
    <w:r w:rsidRPr="00763846">
      <w:rPr>
        <w:rStyle w:val="PageNumber"/>
        <w:rFonts w:cs="Arial"/>
        <w:sz w:val="14"/>
        <w:szCs w:val="14"/>
      </w:rPr>
      <w:instrText xml:space="preserve"> NUMPAGES </w:instrText>
    </w:r>
    <w:r w:rsidRPr="00763846">
      <w:rPr>
        <w:rStyle w:val="PageNumber"/>
        <w:rFonts w:cs="Arial"/>
        <w:sz w:val="14"/>
        <w:szCs w:val="14"/>
      </w:rPr>
      <w:fldChar w:fldCharType="separate"/>
    </w:r>
    <w:r w:rsidR="00F03853">
      <w:rPr>
        <w:rStyle w:val="PageNumber"/>
        <w:rFonts w:cs="Arial"/>
        <w:noProof/>
        <w:sz w:val="14"/>
        <w:szCs w:val="14"/>
      </w:rPr>
      <w:t>3</w:t>
    </w:r>
    <w:r w:rsidRPr="00763846">
      <w:rPr>
        <w:rStyle w:val="PageNumber"/>
        <w:rFonts w:cs="Arial"/>
        <w:sz w:val="14"/>
        <w:szCs w:val="14"/>
      </w:rPr>
      <w:fldChar w:fldCharType="end"/>
    </w:r>
  </w:p>
  <w:p w14:paraId="2D0DD5A7" w14:textId="77777777" w:rsidR="00673B59" w:rsidRPr="00763846" w:rsidRDefault="00673B59">
    <w:pPr>
      <w:jc w:val="right"/>
      <w:rPr>
        <w:sz w:val="14"/>
        <w:szCs w:val="14"/>
      </w:rPr>
    </w:pPr>
    <w:r w:rsidRPr="00763846">
      <w:rPr>
        <w:rFonts w:ascii="Arial" w:hAnsi="Arial" w:cs="Arial"/>
        <w:sz w:val="14"/>
        <w:szCs w:val="14"/>
      </w:rPr>
      <w:fldChar w:fldCharType="begin"/>
    </w:r>
    <w:r w:rsidRPr="00763846">
      <w:rPr>
        <w:rFonts w:ascii="Arial" w:hAnsi="Arial" w:cs="Arial"/>
        <w:sz w:val="14"/>
        <w:szCs w:val="14"/>
      </w:rPr>
      <w:instrText xml:space="preserve"> FILENAME  \* MERGEFORMAT </w:instrText>
    </w:r>
    <w:r w:rsidRPr="00763846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Document2</w:t>
    </w:r>
    <w:r w:rsidRPr="00763846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4069" w14:textId="77777777" w:rsidR="00673B59" w:rsidRPr="00873CB3" w:rsidRDefault="00673B59" w:rsidP="00763846">
    <w:pPr>
      <w:spacing w:line="360" w:lineRule="auto"/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t xml:space="preserve">Page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PAGE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F03853">
      <w:rPr>
        <w:rStyle w:val="PageNumber"/>
        <w:rFonts w:cs="Arial"/>
        <w:noProof/>
        <w:sz w:val="14"/>
        <w:szCs w:val="14"/>
      </w:rPr>
      <w:t>1</w:t>
    </w:r>
    <w:r w:rsidRPr="00873CB3">
      <w:rPr>
        <w:rStyle w:val="PageNumber"/>
        <w:rFonts w:cs="Arial"/>
        <w:sz w:val="14"/>
        <w:szCs w:val="14"/>
      </w:rPr>
      <w:fldChar w:fldCharType="end"/>
    </w:r>
    <w:r w:rsidRPr="00873CB3">
      <w:rPr>
        <w:rStyle w:val="PageNumber"/>
        <w:rFonts w:cs="Arial"/>
        <w:sz w:val="14"/>
        <w:szCs w:val="14"/>
      </w:rPr>
      <w:t xml:space="preserve"> of </w:t>
    </w:r>
    <w:r w:rsidRPr="00873CB3">
      <w:rPr>
        <w:rStyle w:val="PageNumber"/>
        <w:rFonts w:cs="Arial"/>
        <w:sz w:val="14"/>
        <w:szCs w:val="14"/>
      </w:rPr>
      <w:fldChar w:fldCharType="begin"/>
    </w:r>
    <w:r w:rsidRPr="00873CB3">
      <w:rPr>
        <w:rStyle w:val="PageNumber"/>
        <w:rFonts w:cs="Arial"/>
        <w:sz w:val="14"/>
        <w:szCs w:val="14"/>
      </w:rPr>
      <w:instrText xml:space="preserve"> NUMPAGES </w:instrText>
    </w:r>
    <w:r w:rsidRPr="00873CB3">
      <w:rPr>
        <w:rStyle w:val="PageNumber"/>
        <w:rFonts w:cs="Arial"/>
        <w:sz w:val="14"/>
        <w:szCs w:val="14"/>
      </w:rPr>
      <w:fldChar w:fldCharType="separate"/>
    </w:r>
    <w:r w:rsidR="00F03853">
      <w:rPr>
        <w:rStyle w:val="PageNumber"/>
        <w:rFonts w:cs="Arial"/>
        <w:noProof/>
        <w:sz w:val="14"/>
        <w:szCs w:val="14"/>
      </w:rPr>
      <w:t>3</w:t>
    </w:r>
    <w:r w:rsidRPr="00873CB3">
      <w:rPr>
        <w:rStyle w:val="PageNumber"/>
        <w:rFonts w:cs="Arial"/>
        <w:sz w:val="14"/>
        <w:szCs w:val="14"/>
      </w:rPr>
      <w:fldChar w:fldCharType="end"/>
    </w:r>
  </w:p>
  <w:p w14:paraId="1CB7D948" w14:textId="77777777" w:rsidR="00673B59" w:rsidRPr="00873CB3" w:rsidRDefault="00673B59">
    <w:pPr>
      <w:jc w:val="right"/>
      <w:rPr>
        <w:rFonts w:ascii="Arial" w:hAnsi="Arial" w:cs="Arial"/>
        <w:sz w:val="14"/>
        <w:szCs w:val="14"/>
      </w:rPr>
    </w:pPr>
    <w:r w:rsidRPr="00873CB3">
      <w:rPr>
        <w:rFonts w:ascii="Arial" w:hAnsi="Arial" w:cs="Arial"/>
        <w:sz w:val="14"/>
        <w:szCs w:val="14"/>
      </w:rPr>
      <w:fldChar w:fldCharType="begin"/>
    </w:r>
    <w:r w:rsidRPr="00873CB3">
      <w:rPr>
        <w:rFonts w:ascii="Arial" w:hAnsi="Arial" w:cs="Arial"/>
        <w:sz w:val="14"/>
        <w:szCs w:val="14"/>
      </w:rPr>
      <w:instrText xml:space="preserve"> FILENAME  \* MERGEFORMAT </w:instrText>
    </w:r>
    <w:r w:rsidRPr="00873CB3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Document2</w:t>
    </w:r>
    <w:r w:rsidRPr="00873CB3">
      <w:rPr>
        <w:rFonts w:ascii="Arial" w:hAnsi="Arial" w:cs="Arial"/>
        <w:sz w:val="14"/>
        <w:szCs w:val="14"/>
      </w:rPr>
      <w:fldChar w:fldCharType="end"/>
    </w:r>
  </w:p>
  <w:p w14:paraId="54177087" w14:textId="77777777" w:rsidR="00673B59" w:rsidRDefault="00673B59" w:rsidP="00BC2CFA">
    <w:pPr>
      <w:spacing w:line="160" w:lineRule="exact"/>
      <w:ind w:left="1701"/>
      <w:rPr>
        <w:rFonts w:ascii="Arial" w:hAnsi="Arial" w:cs="Arial"/>
        <w:sz w:val="12"/>
      </w:rPr>
    </w:pPr>
  </w:p>
  <w:p w14:paraId="2244CEED" w14:textId="77777777" w:rsidR="00673B59" w:rsidRPr="005A437F" w:rsidRDefault="00673B59" w:rsidP="005A437F">
    <w:pPr>
      <w:spacing w:line="160" w:lineRule="exact"/>
      <w:ind w:left="1701"/>
      <w:rPr>
        <w:rFonts w:ascii="Arial" w:hAnsi="Arial" w:cs="Arial"/>
        <w:sz w:val="12"/>
      </w:rPr>
    </w:pPr>
    <w:r w:rsidRPr="005A437F">
      <w:rPr>
        <w:rFonts w:ascii="Arial" w:hAnsi="Arial" w:cs="Arial"/>
        <w:sz w:val="12"/>
      </w:rPr>
      <w:t xml:space="preserve">Higher Education Statistics Agency Ltd is a company limited by guarantee, registered in England at 95 Promenade, Cheltenham, GL50 1HZ. </w:t>
    </w:r>
  </w:p>
  <w:p w14:paraId="44C31272" w14:textId="77777777" w:rsidR="00673B59" w:rsidRDefault="00673B59" w:rsidP="005A437F">
    <w:pPr>
      <w:spacing w:line="160" w:lineRule="exact"/>
      <w:ind w:left="1701"/>
    </w:pPr>
    <w:r w:rsidRPr="005A437F">
      <w:rPr>
        <w:rFonts w:ascii="Arial" w:hAnsi="Arial" w:cs="Arial"/>
        <w:sz w:val="12"/>
      </w:rPr>
      <w:t>Registered No. 2766993. Registered Charity No. 1039709. Certified to ISO 9001 and ISO 27001. The members are Universities UK and GuildHE.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9C754" w14:textId="77777777" w:rsidR="00673B59" w:rsidRDefault="00673B59">
      <w:r>
        <w:separator/>
      </w:r>
    </w:p>
  </w:footnote>
  <w:footnote w:type="continuationSeparator" w:id="0">
    <w:p w14:paraId="26EBC402" w14:textId="77777777" w:rsidR="00673B59" w:rsidRDefault="00673B59">
      <w:r>
        <w:continuationSeparator/>
      </w:r>
    </w:p>
  </w:footnote>
  <w:footnote w:type="continuationNotice" w:id="1">
    <w:p w14:paraId="39C9479A" w14:textId="77777777" w:rsidR="00673B59" w:rsidRDefault="00673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1EAB" w14:textId="77777777" w:rsidR="00673B59" w:rsidRDefault="00673B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32C87704" wp14:editId="4F8A95A4">
          <wp:simplePos x="0" y="0"/>
          <wp:positionH relativeFrom="column">
            <wp:posOffset>-69850</wp:posOffset>
          </wp:positionH>
          <wp:positionV relativeFrom="paragraph">
            <wp:posOffset>9260840</wp:posOffset>
          </wp:positionV>
          <wp:extent cx="1076325" cy="628650"/>
          <wp:effectExtent l="0" t="0" r="9525" b="0"/>
          <wp:wrapNone/>
          <wp:docPr id="5" name="Picture 5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9B8F78" wp14:editId="74DBAEBB">
          <wp:simplePos x="0" y="0"/>
          <wp:positionH relativeFrom="column">
            <wp:posOffset>5035550</wp:posOffset>
          </wp:positionH>
          <wp:positionV relativeFrom="paragraph">
            <wp:posOffset>-35560</wp:posOffset>
          </wp:positionV>
          <wp:extent cx="1438275" cy="1171575"/>
          <wp:effectExtent l="0" t="0" r="9525" b="9525"/>
          <wp:wrapSquare wrapText="bothSides"/>
          <wp:docPr id="4" name="Picture 4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SA_Full_Logo_CMYK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12699"/>
    <w:multiLevelType w:val="hybridMultilevel"/>
    <w:tmpl w:val="EAE4D9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318"/>
    <w:multiLevelType w:val="hybridMultilevel"/>
    <w:tmpl w:val="4CE8BF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3807"/>
    <w:multiLevelType w:val="hybridMultilevel"/>
    <w:tmpl w:val="3830F3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0AC8"/>
    <w:multiLevelType w:val="hybridMultilevel"/>
    <w:tmpl w:val="7DC457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500F5"/>
    <w:multiLevelType w:val="multilevel"/>
    <w:tmpl w:val="DC04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23C20"/>
    <w:multiLevelType w:val="hybridMultilevel"/>
    <w:tmpl w:val="99804A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02"/>
    <w:rsid w:val="00061914"/>
    <w:rsid w:val="000C3B0F"/>
    <w:rsid w:val="000C7877"/>
    <w:rsid w:val="00130B42"/>
    <w:rsid w:val="0014098F"/>
    <w:rsid w:val="00184F4E"/>
    <w:rsid w:val="001C4521"/>
    <w:rsid w:val="001E2C85"/>
    <w:rsid w:val="002B4DC1"/>
    <w:rsid w:val="002C50D4"/>
    <w:rsid w:val="002E200E"/>
    <w:rsid w:val="002F0A91"/>
    <w:rsid w:val="00324946"/>
    <w:rsid w:val="0034662B"/>
    <w:rsid w:val="003A6358"/>
    <w:rsid w:val="003C3D08"/>
    <w:rsid w:val="0040687C"/>
    <w:rsid w:val="004362DF"/>
    <w:rsid w:val="00440CC4"/>
    <w:rsid w:val="00455B19"/>
    <w:rsid w:val="00474E72"/>
    <w:rsid w:val="00481BD5"/>
    <w:rsid w:val="00511F2A"/>
    <w:rsid w:val="00522DA7"/>
    <w:rsid w:val="00570EC9"/>
    <w:rsid w:val="005A437F"/>
    <w:rsid w:val="005A58FA"/>
    <w:rsid w:val="00632CB2"/>
    <w:rsid w:val="00643887"/>
    <w:rsid w:val="00673B59"/>
    <w:rsid w:val="00696247"/>
    <w:rsid w:val="006C5DD2"/>
    <w:rsid w:val="00763846"/>
    <w:rsid w:val="00787F0C"/>
    <w:rsid w:val="007E55F6"/>
    <w:rsid w:val="00804599"/>
    <w:rsid w:val="0081346C"/>
    <w:rsid w:val="00820E3D"/>
    <w:rsid w:val="0082213D"/>
    <w:rsid w:val="008662A9"/>
    <w:rsid w:val="00873CB3"/>
    <w:rsid w:val="008A2D2A"/>
    <w:rsid w:val="008C37C9"/>
    <w:rsid w:val="008D6EC3"/>
    <w:rsid w:val="00971848"/>
    <w:rsid w:val="00991A8F"/>
    <w:rsid w:val="009B64C3"/>
    <w:rsid w:val="009C4F9C"/>
    <w:rsid w:val="009D37A5"/>
    <w:rsid w:val="009E30B0"/>
    <w:rsid w:val="00A112F3"/>
    <w:rsid w:val="00B05485"/>
    <w:rsid w:val="00B15871"/>
    <w:rsid w:val="00B43D9E"/>
    <w:rsid w:val="00B74820"/>
    <w:rsid w:val="00B74B4E"/>
    <w:rsid w:val="00B8119A"/>
    <w:rsid w:val="00BA2777"/>
    <w:rsid w:val="00BC2CFA"/>
    <w:rsid w:val="00BE3F6C"/>
    <w:rsid w:val="00CA2FDD"/>
    <w:rsid w:val="00D538CF"/>
    <w:rsid w:val="00DC5C29"/>
    <w:rsid w:val="00E10A9E"/>
    <w:rsid w:val="00E85936"/>
    <w:rsid w:val="00EC0549"/>
    <w:rsid w:val="00EE108F"/>
    <w:rsid w:val="00EF6BFC"/>
    <w:rsid w:val="00F03853"/>
    <w:rsid w:val="00F73300"/>
    <w:rsid w:val="00FA54F3"/>
    <w:rsid w:val="00FC3E6B"/>
    <w:rsid w:val="00FD3902"/>
    <w:rsid w:val="4C11FB15"/>
    <w:rsid w:val="6203C60D"/>
    <w:rsid w:val="726C8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ED7FE9A"/>
  <w15:docId w15:val="{433438F8-680B-4C95-BD96-23EA0B4D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4E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184F4E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1"/>
    <w:rsid w:val="00184F4E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B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B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4F4E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184F4E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character" w:styleId="PageNumber">
    <w:name w:val="page number"/>
    <w:basedOn w:val="DefaultParagraphFont"/>
    <w:rsid w:val="00184F4E"/>
    <w:rPr>
      <w:rFonts w:ascii="Arial" w:hAnsi="Arial"/>
      <w:sz w:val="12"/>
    </w:rPr>
  </w:style>
  <w:style w:type="paragraph" w:customStyle="1" w:styleId="PaperNo">
    <w:name w:val="Paper No."/>
    <w:basedOn w:val="Heading2"/>
    <w:rsid w:val="00184F4E"/>
    <w:pPr>
      <w:jc w:val="right"/>
    </w:pPr>
    <w:rPr>
      <w:bCs/>
      <w:iCs w:val="0"/>
    </w:rPr>
  </w:style>
  <w:style w:type="paragraph" w:styleId="ListParagraph">
    <w:name w:val="List Paragraph"/>
    <w:basedOn w:val="Normal"/>
    <w:uiPriority w:val="34"/>
    <w:qFormat/>
    <w:rsid w:val="00570EC9"/>
    <w:pPr>
      <w:ind w:left="720"/>
      <w:contextualSpacing/>
    </w:pPr>
    <w:rPr>
      <w:rFonts w:ascii="Palatino Linotype" w:hAnsi="Palatino Linotype"/>
    </w:rPr>
  </w:style>
  <w:style w:type="character" w:customStyle="1" w:styleId="Heading4Char">
    <w:name w:val="Heading 4 Char"/>
    <w:basedOn w:val="DefaultParagraphFont"/>
    <w:link w:val="Heading4"/>
    <w:semiHidden/>
    <w:rsid w:val="00673B59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673B59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73B59"/>
    <w:rPr>
      <w:color w:val="0000FF"/>
      <w:u w:val="single"/>
    </w:rPr>
  </w:style>
  <w:style w:type="character" w:customStyle="1" w:styleId="drop">
    <w:name w:val="drop"/>
    <w:basedOn w:val="DefaultParagraphFont"/>
    <w:rsid w:val="00673B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3B59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3B5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3B59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3B59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73B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3B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ilesize">
    <w:name w:val="filesize"/>
    <w:basedOn w:val="DefaultParagraphFont"/>
    <w:rsid w:val="0067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1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1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9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3\Apps\WorkGroupTemplates\HESA\Meeting_Paper_Template_H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a1b51c41bc70dab12db6c808fbea186a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3459cee4e64900cbc90bcae87ee0f5b8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>15</Relates_x0020_to>
  </documentManagement>
</p:properties>
</file>

<file path=customXml/itemProps1.xml><?xml version="1.0" encoding="utf-8"?>
<ds:datastoreItem xmlns:ds="http://schemas.openxmlformats.org/officeDocument/2006/customXml" ds:itemID="{DA9554AA-86C8-4C67-B218-001FEE586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3AAEC-03BE-466E-A4E0-A8F84CB5D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37a8-eafa-4a27-b809-98474ec73a55"/>
    <ds:schemaRef ds:uri="a45e714d-71aa-41bd-a0fb-0b18d003f343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3EA20-E790-4E81-B478-6298A4BD7658}">
  <ds:schemaRefs>
    <ds:schemaRef ds:uri="http://schemas.microsoft.com/office/2006/documentManagement/types"/>
    <ds:schemaRef ds:uri="a45e714d-71aa-41bd-a0fb-0b18d003f343"/>
    <ds:schemaRef ds:uri="9b9937a8-eafa-4a27-b809-98474ec73a55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677653f-c5f2-48a5-85d0-ca15fa286be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Meeting_Paper_Template_HESA.dotx</Template>
  <TotalTime>323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HESA</Company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Dan Cook</dc:creator>
  <cp:lastModifiedBy>Rachel Hewitt</cp:lastModifiedBy>
  <cp:revision>14</cp:revision>
  <cp:lastPrinted>2009-05-18T11:12:00Z</cp:lastPrinted>
  <dcterms:created xsi:type="dcterms:W3CDTF">2015-10-02T13:36:00Z</dcterms:created>
  <dcterms:modified xsi:type="dcterms:W3CDTF">2015-11-04T10:13:00Z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  <property fmtid="{D5CDD505-2E9C-101B-9397-08002B2CF9AE}" pid="3" name="Order">
    <vt:r8>55700</vt:r8>
  </property>
  <property fmtid="{D5CDD505-2E9C-101B-9397-08002B2CF9AE}" pid="4" name="xd_ProgID">
    <vt:lpwstr/>
  </property>
  <property fmtid="{D5CDD505-2E9C-101B-9397-08002B2CF9AE}" pid="5" name="_CopySource">
    <vt:lpwstr>https://hesa.sharepoint.com/units/collectionsdevelopment/Reviews/Destinations and Outcomes review/Strategic group - meeting 1 prep/Final papers/Paper 1 - Terms of Reference.docx</vt:lpwstr>
  </property>
  <property fmtid="{D5CDD505-2E9C-101B-9397-08002B2CF9AE}" pid="6" name="TemplateUrl">
    <vt:lpwstr/>
  </property>
</Properties>
</file>