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11178" w14:textId="77777777" w:rsidR="00DC5C29" w:rsidRDefault="00E8782D" w:rsidP="00455B19">
      <w:pPr>
        <w:pStyle w:val="Heading1"/>
      </w:pPr>
      <w:r>
        <w:fldChar w:fldCharType="begin"/>
      </w:r>
      <w:r>
        <w:instrText xml:space="preserve"> FILLIN  \* MERGEFORMAT </w:instrText>
      </w:r>
      <w:r>
        <w:fldChar w:fldCharType="end"/>
      </w:r>
    </w:p>
    <w:p w14:paraId="4B381A69" w14:textId="77777777" w:rsidR="00DC5C29" w:rsidRDefault="00DC5C29"/>
    <w:p w14:paraId="425A049D" w14:textId="77777777" w:rsidR="00E8782D" w:rsidRPr="00E8782D" w:rsidRDefault="00E8782D" w:rsidP="00E8782D">
      <w:pPr>
        <w:rPr>
          <w:b/>
          <w:iCs/>
          <w:color w:val="365F91" w:themeColor="accent1" w:themeShade="BF"/>
          <w:kern w:val="28"/>
          <w:sz w:val="28"/>
        </w:rPr>
      </w:pPr>
      <w:r w:rsidRPr="00E8782D">
        <w:rPr>
          <w:b/>
          <w:iCs/>
          <w:color w:val="365F91" w:themeColor="accent1" w:themeShade="BF"/>
          <w:kern w:val="28"/>
          <w:sz w:val="28"/>
        </w:rPr>
        <w:t>Review of HE student destinations and outcomes data:</w:t>
      </w:r>
    </w:p>
    <w:p w14:paraId="126FC60B" w14:textId="77777777" w:rsidR="00E8782D" w:rsidRDefault="00E8782D" w:rsidP="00E8782D">
      <w:pPr>
        <w:rPr>
          <w:b/>
          <w:iCs/>
          <w:color w:val="365F91" w:themeColor="accent1" w:themeShade="BF"/>
          <w:kern w:val="28"/>
          <w:sz w:val="28"/>
        </w:rPr>
      </w:pPr>
      <w:r w:rsidRPr="00E8782D">
        <w:rPr>
          <w:b/>
          <w:iCs/>
          <w:color w:val="365F91" w:themeColor="accent1" w:themeShade="BF"/>
          <w:kern w:val="28"/>
          <w:sz w:val="28"/>
        </w:rPr>
        <w:t>Third working group meeting</w:t>
      </w:r>
    </w:p>
    <w:p w14:paraId="650D40A7" w14:textId="77777777" w:rsidR="00E8782D" w:rsidRPr="00E8782D" w:rsidRDefault="00E8782D" w:rsidP="00E8782D">
      <w:pPr>
        <w:rPr>
          <w:b/>
          <w:iCs/>
          <w:color w:val="365F91" w:themeColor="accent1" w:themeShade="BF"/>
          <w:kern w:val="28"/>
          <w:sz w:val="28"/>
        </w:rPr>
      </w:pPr>
    </w:p>
    <w:p w14:paraId="48762A66" w14:textId="77777777" w:rsidR="00E8782D" w:rsidRPr="00E8782D" w:rsidRDefault="00E8782D" w:rsidP="00E8782D">
      <w:pPr>
        <w:rPr>
          <w:b/>
          <w:iCs/>
          <w:color w:val="365F91" w:themeColor="accent1" w:themeShade="BF"/>
          <w:kern w:val="28"/>
          <w:sz w:val="24"/>
        </w:rPr>
      </w:pPr>
      <w:r w:rsidRPr="00E8782D">
        <w:rPr>
          <w:b/>
          <w:iCs/>
          <w:color w:val="365F91" w:themeColor="accent1" w:themeShade="BF"/>
          <w:kern w:val="28"/>
          <w:sz w:val="24"/>
        </w:rPr>
        <w:t>Monday 22 February 2016, 11.00am</w:t>
      </w:r>
    </w:p>
    <w:p w14:paraId="78455BD3" w14:textId="77777777" w:rsidR="00E8782D" w:rsidRPr="00E8782D" w:rsidRDefault="00E8782D" w:rsidP="00E8782D">
      <w:pPr>
        <w:rPr>
          <w:b/>
          <w:iCs/>
          <w:color w:val="365F91" w:themeColor="accent1" w:themeShade="BF"/>
          <w:kern w:val="28"/>
          <w:sz w:val="24"/>
        </w:rPr>
      </w:pPr>
      <w:proofErr w:type="spellStart"/>
      <w:r w:rsidRPr="00E8782D">
        <w:rPr>
          <w:b/>
          <w:iCs/>
          <w:color w:val="365F91" w:themeColor="accent1" w:themeShade="BF"/>
          <w:kern w:val="28"/>
          <w:sz w:val="24"/>
        </w:rPr>
        <w:t>Finlaison</w:t>
      </w:r>
      <w:proofErr w:type="spellEnd"/>
      <w:r w:rsidRPr="00E8782D">
        <w:rPr>
          <w:b/>
          <w:iCs/>
          <w:color w:val="365F91" w:themeColor="accent1" w:themeShade="BF"/>
          <w:kern w:val="28"/>
          <w:sz w:val="24"/>
        </w:rPr>
        <w:t xml:space="preserve"> House, London, EC4A 1AB</w:t>
      </w:r>
    </w:p>
    <w:p w14:paraId="17E0A684" w14:textId="77777777" w:rsidR="00DC5C29" w:rsidRDefault="00DC5C29"/>
    <w:p w14:paraId="2060C8FB" w14:textId="77777777" w:rsidR="00DC5C29" w:rsidRDefault="00DC5C29" w:rsidP="00184F4E"/>
    <w:p w14:paraId="3C0B1369" w14:textId="4B2F7B2D" w:rsidR="00DC5C29" w:rsidRDefault="00DC5C29" w:rsidP="00184F4E">
      <w:pPr>
        <w:pStyle w:val="PaperNo"/>
      </w:pPr>
      <w:r>
        <w:t>Paper No:</w:t>
      </w:r>
      <w:r w:rsidR="00FB7D7D">
        <w:t xml:space="preserve"> 4</w:t>
      </w:r>
      <w:bookmarkStart w:id="0" w:name="_GoBack"/>
      <w:bookmarkEnd w:id="0"/>
    </w:p>
    <w:p w14:paraId="0FF46EE6" w14:textId="77777777" w:rsidR="00DC5C29" w:rsidRDefault="00DC5C29"/>
    <w:p w14:paraId="2F4F3989" w14:textId="77777777" w:rsidR="00DC5C29" w:rsidRDefault="00E8782D" w:rsidP="00E8782D">
      <w:pPr>
        <w:pStyle w:val="Heading1"/>
      </w:pPr>
      <w:r w:rsidRPr="00E8782D">
        <w:t>Contesting “Volatility”</w:t>
      </w:r>
    </w:p>
    <w:p w14:paraId="0D5EF74B" w14:textId="77777777" w:rsidR="00E8782D" w:rsidRDefault="00E8782D" w:rsidP="00E8782D"/>
    <w:p w14:paraId="0F41A668" w14:textId="64A171E0" w:rsidR="00E8782D" w:rsidRDefault="00E8782D" w:rsidP="00E8782D">
      <w:r>
        <w:t>At its December meeting, the working group discussed the questions put to it by the strategic group in the remit document. The first question was:</w:t>
      </w:r>
    </w:p>
    <w:p w14:paraId="209A839B" w14:textId="77777777" w:rsidR="00414C12" w:rsidRDefault="00414C12" w:rsidP="00E8782D"/>
    <w:p w14:paraId="6499930F" w14:textId="089F8DF4" w:rsidR="00E8782D" w:rsidRDefault="00414C12" w:rsidP="00414C12">
      <w:pPr>
        <w:overflowPunct/>
        <w:autoSpaceDE/>
        <w:autoSpaceDN/>
        <w:adjustRightInd/>
        <w:spacing w:after="160" w:line="259" w:lineRule="auto"/>
        <w:ind w:left="360"/>
        <w:textAlignment w:val="auto"/>
      </w:pPr>
      <w:r>
        <w:t>“</w:t>
      </w:r>
      <w:r w:rsidR="00E8782D">
        <w:t>How can we better understand the career paths taken by students? Special focus should be given to better understanding the volatility that attends early stages of a career in some industry sectors, and to the impacts of part-time study on careers.</w:t>
      </w:r>
      <w:r>
        <w:t>”</w:t>
      </w:r>
    </w:p>
    <w:p w14:paraId="72AB97E3" w14:textId="0958A838" w:rsidR="00E8782D" w:rsidRDefault="00E8782D" w:rsidP="00E8782D">
      <w:r>
        <w:t>There was a widely-shared consensus in the working group that the use of the word ‘volatility’ was incorrect. While it is believed that many (mainly young) graduates will undertake a variety of jobs soon after graduating, it is perhaps unfair to characterise this as an imposed ‘volatility’.</w:t>
      </w:r>
    </w:p>
    <w:p w14:paraId="293A2F1C" w14:textId="77777777" w:rsidR="00414C12" w:rsidRDefault="00414C12" w:rsidP="00E8782D"/>
    <w:p w14:paraId="3BEEDFD1" w14:textId="43F84404" w:rsidR="00E8782D" w:rsidRDefault="00E8782D" w:rsidP="00E8782D">
      <w:r>
        <w:t>Firstly, the current data are inadequate to determine the extent of any impermanence in employment relations. DLHE offers a synchronic snapshot, while the Longitudinal DLHE is a sample, and is also configured as a later snapshot. To understand the nature of early career pathways, a diachronic method is required, which will track changes over time.</w:t>
      </w:r>
      <w:r w:rsidR="00414C12">
        <w:t xml:space="preserve"> We do not have enough evidence to make statements about the level or extent of ‘volatility’ experienced by graduates.</w:t>
      </w:r>
    </w:p>
    <w:p w14:paraId="392D51EE" w14:textId="77777777" w:rsidR="00414C12" w:rsidRDefault="00414C12" w:rsidP="00E8782D"/>
    <w:p w14:paraId="560D349C" w14:textId="22D39F8B" w:rsidR="00E8782D" w:rsidRDefault="00E8782D" w:rsidP="00E8782D">
      <w:r>
        <w:t xml:space="preserve">Secondly, we do not have evidence </w:t>
      </w:r>
      <w:r w:rsidR="00414C12">
        <w:t>to determine that volatility in</w:t>
      </w:r>
      <w:r>
        <w:t xml:space="preserve"> the labour market imposes impermanence in employment</w:t>
      </w:r>
      <w:r w:rsidR="00414C12">
        <w:t xml:space="preserve"> for graduates</w:t>
      </w:r>
      <w:r>
        <w:t xml:space="preserve">. Graduates may be acting strategically in their early employment choices, and building </w:t>
      </w:r>
      <w:r w:rsidR="00414C12">
        <w:t xml:space="preserve">on a variety of experiences </w:t>
      </w:r>
      <w:r>
        <w:t xml:space="preserve">toward a goal; or they may simply be trying-out a variety of employment possibilities. It is also possible that flexible employment choices are supporting other non-pecuniary goals. </w:t>
      </w:r>
      <w:r w:rsidR="00414C12">
        <w:t>As well as not fully understanding the level or extent of volatility; we do not know the reasons why it might exist.</w:t>
      </w:r>
    </w:p>
    <w:p w14:paraId="73BF8482" w14:textId="77777777" w:rsidR="00414C12" w:rsidRDefault="00414C12" w:rsidP="00E8782D"/>
    <w:p w14:paraId="53A81CC9" w14:textId="4AA9EC08" w:rsidR="00E8782D" w:rsidRDefault="00E8782D" w:rsidP="00E8782D">
      <w:r>
        <w:t>Given this discussion, the working group proposes the following re-wording of the first question:</w:t>
      </w:r>
    </w:p>
    <w:p w14:paraId="73D0DC99" w14:textId="77777777" w:rsidR="00414C12" w:rsidRDefault="00414C12" w:rsidP="00E8782D"/>
    <w:p w14:paraId="73653C3C" w14:textId="5FDA66E7" w:rsidR="00E8782D" w:rsidRDefault="00414C12" w:rsidP="00414C12">
      <w:pPr>
        <w:overflowPunct/>
        <w:autoSpaceDE/>
        <w:autoSpaceDN/>
        <w:adjustRightInd/>
        <w:spacing w:after="160" w:line="259" w:lineRule="auto"/>
        <w:ind w:left="360"/>
        <w:textAlignment w:val="auto"/>
      </w:pPr>
      <w:r>
        <w:t>“</w:t>
      </w:r>
      <w:r w:rsidR="00E8782D">
        <w:t>How can we better understand the career paths taken by students? Special focus should be given to better understanding the early stages of activity, what amount of job-changing occurs, the motivations for this and in what ways different employment patterns relate to certain careers or industry sectors. We should also discover the impacts of part-time study on careers.</w:t>
      </w:r>
      <w:r>
        <w:t>”</w:t>
      </w:r>
    </w:p>
    <w:p w14:paraId="0DC4B53F" w14:textId="77777777" w:rsidR="00E8782D" w:rsidRDefault="00E8782D" w:rsidP="00E8782D">
      <w:r>
        <w:lastRenderedPageBreak/>
        <w:t>This proposal is presented to the Strategic Group for their consideration and approval.</w:t>
      </w:r>
    </w:p>
    <w:p w14:paraId="4E69F7A5" w14:textId="1319F671" w:rsidR="00E8782D" w:rsidRDefault="00E8782D" w:rsidP="00E8782D"/>
    <w:p w14:paraId="661015BB" w14:textId="1B2F3F81" w:rsidR="00414C12" w:rsidRDefault="00414C12" w:rsidP="00E8782D"/>
    <w:p w14:paraId="7EA4087C" w14:textId="77777777" w:rsidR="00414C12" w:rsidRDefault="00414C12" w:rsidP="00E8782D"/>
    <w:p w14:paraId="6555AF49" w14:textId="26B4A624" w:rsidR="00414C12" w:rsidRDefault="00414C12" w:rsidP="00E8782D">
      <w:r>
        <w:t>Dan Cook</w:t>
      </w:r>
    </w:p>
    <w:p w14:paraId="7B568BF1" w14:textId="51848800" w:rsidR="00414C12" w:rsidRPr="00E8782D" w:rsidRDefault="00414C12" w:rsidP="00E8782D">
      <w:r>
        <w:t>12/02/2016</w:t>
      </w:r>
    </w:p>
    <w:sectPr w:rsidR="00414C12" w:rsidRPr="00E8782D" w:rsidSect="00324946"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851" w:bottom="340" w:left="851" w:header="720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95334" w14:textId="77777777" w:rsidR="00E8782D" w:rsidRDefault="00E8782D">
      <w:r>
        <w:separator/>
      </w:r>
    </w:p>
  </w:endnote>
  <w:endnote w:type="continuationSeparator" w:id="0">
    <w:p w14:paraId="13B51A6B" w14:textId="77777777" w:rsidR="00E8782D" w:rsidRDefault="00E87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Bk BT">
    <w:altName w:val="Segoe UI Light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C9681" w14:textId="77777777" w:rsidR="00DC5C29" w:rsidRDefault="00DC5C29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62A6A369" w14:textId="77777777" w:rsidR="00DC5C29" w:rsidRDefault="00DC5C29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3BFC2" w14:textId="77777777" w:rsidR="00DC5C29" w:rsidRDefault="00EE108F">
    <w:pPr>
      <w:ind w:right="-1"/>
      <w:jc w:val="right"/>
    </w:pPr>
    <w:r>
      <w:rPr>
        <w:rFonts w:ascii="Futura Bk BT" w:hAnsi="Futura Bk BT"/>
        <w:noProof/>
        <w:sz w:val="14"/>
        <w:lang w:eastAsia="en-GB"/>
      </w:rPr>
      <w:drawing>
        <wp:anchor distT="0" distB="0" distL="114300" distR="114300" simplePos="0" relativeHeight="251660288" behindDoc="0" locked="0" layoutInCell="1" allowOverlap="1" wp14:anchorId="0CDEAF71" wp14:editId="55FD3454">
          <wp:simplePos x="0" y="0"/>
          <wp:positionH relativeFrom="column">
            <wp:posOffset>-69850</wp:posOffset>
          </wp:positionH>
          <wp:positionV relativeFrom="paragraph">
            <wp:posOffset>-64770</wp:posOffset>
          </wp:positionV>
          <wp:extent cx="1076325" cy="628650"/>
          <wp:effectExtent l="0" t="0" r="9525" b="0"/>
          <wp:wrapNone/>
          <wp:docPr id="6" name="Picture 6" descr="HESA_Flash_CMYK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ESA_Flash_CMYK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C061F9" w14:textId="77777777" w:rsidR="00DC5C29" w:rsidRDefault="00DC5C29">
    <w:pPr>
      <w:rPr>
        <w:rFonts w:ascii="Futura Bk BT" w:hAnsi="Futura Bk BT"/>
        <w:sz w:val="14"/>
      </w:rPr>
    </w:pPr>
  </w:p>
  <w:p w14:paraId="547B67E5" w14:textId="77777777" w:rsidR="008C37C9" w:rsidRPr="00763846" w:rsidRDefault="008C37C9" w:rsidP="00763846">
    <w:pPr>
      <w:spacing w:line="360" w:lineRule="auto"/>
      <w:jc w:val="right"/>
      <w:rPr>
        <w:rFonts w:ascii="Arial" w:hAnsi="Arial" w:cs="Arial"/>
        <w:sz w:val="14"/>
        <w:szCs w:val="14"/>
      </w:rPr>
    </w:pPr>
    <w:r w:rsidRPr="00763846">
      <w:rPr>
        <w:rFonts w:ascii="Arial" w:hAnsi="Arial" w:cs="Arial"/>
        <w:sz w:val="14"/>
        <w:szCs w:val="14"/>
      </w:rPr>
      <w:t xml:space="preserve">Page </w:t>
    </w:r>
    <w:r w:rsidRPr="00763846">
      <w:rPr>
        <w:rStyle w:val="PageNumber"/>
        <w:rFonts w:cs="Arial"/>
        <w:sz w:val="14"/>
        <w:szCs w:val="14"/>
      </w:rPr>
      <w:fldChar w:fldCharType="begin"/>
    </w:r>
    <w:r w:rsidRPr="00763846">
      <w:rPr>
        <w:rStyle w:val="PageNumber"/>
        <w:rFonts w:cs="Arial"/>
        <w:sz w:val="14"/>
        <w:szCs w:val="14"/>
      </w:rPr>
      <w:instrText xml:space="preserve"> PAGE </w:instrText>
    </w:r>
    <w:r w:rsidRPr="00763846">
      <w:rPr>
        <w:rStyle w:val="PageNumber"/>
        <w:rFonts w:cs="Arial"/>
        <w:sz w:val="14"/>
        <w:szCs w:val="14"/>
      </w:rPr>
      <w:fldChar w:fldCharType="separate"/>
    </w:r>
    <w:r w:rsidR="00763846">
      <w:rPr>
        <w:rStyle w:val="PageNumber"/>
        <w:rFonts w:cs="Arial"/>
        <w:noProof/>
        <w:sz w:val="14"/>
        <w:szCs w:val="14"/>
      </w:rPr>
      <w:t>2</w:t>
    </w:r>
    <w:r w:rsidRPr="00763846">
      <w:rPr>
        <w:rStyle w:val="PageNumber"/>
        <w:rFonts w:cs="Arial"/>
        <w:sz w:val="14"/>
        <w:szCs w:val="14"/>
      </w:rPr>
      <w:fldChar w:fldCharType="end"/>
    </w:r>
    <w:r w:rsidRPr="00763846">
      <w:rPr>
        <w:rStyle w:val="PageNumber"/>
        <w:rFonts w:cs="Arial"/>
        <w:sz w:val="14"/>
        <w:szCs w:val="14"/>
      </w:rPr>
      <w:t xml:space="preserve"> of </w:t>
    </w:r>
    <w:r w:rsidRPr="00763846">
      <w:rPr>
        <w:rStyle w:val="PageNumber"/>
        <w:rFonts w:cs="Arial"/>
        <w:sz w:val="14"/>
        <w:szCs w:val="14"/>
      </w:rPr>
      <w:fldChar w:fldCharType="begin"/>
    </w:r>
    <w:r w:rsidRPr="00763846">
      <w:rPr>
        <w:rStyle w:val="PageNumber"/>
        <w:rFonts w:cs="Arial"/>
        <w:sz w:val="14"/>
        <w:szCs w:val="14"/>
      </w:rPr>
      <w:instrText xml:space="preserve"> NUMPAGES </w:instrText>
    </w:r>
    <w:r w:rsidRPr="00763846">
      <w:rPr>
        <w:rStyle w:val="PageNumber"/>
        <w:rFonts w:cs="Arial"/>
        <w:sz w:val="14"/>
        <w:szCs w:val="14"/>
      </w:rPr>
      <w:fldChar w:fldCharType="separate"/>
    </w:r>
    <w:r w:rsidR="00E8782D">
      <w:rPr>
        <w:rStyle w:val="PageNumber"/>
        <w:rFonts w:cs="Arial"/>
        <w:noProof/>
        <w:sz w:val="14"/>
        <w:szCs w:val="14"/>
      </w:rPr>
      <w:t>1</w:t>
    </w:r>
    <w:r w:rsidRPr="00763846">
      <w:rPr>
        <w:rStyle w:val="PageNumber"/>
        <w:rFonts w:cs="Arial"/>
        <w:sz w:val="14"/>
        <w:szCs w:val="14"/>
      </w:rPr>
      <w:fldChar w:fldCharType="end"/>
    </w:r>
  </w:p>
  <w:p w14:paraId="1D4D9F40" w14:textId="77777777" w:rsidR="00DC5C29" w:rsidRPr="00763846" w:rsidRDefault="00DC5C29">
    <w:pPr>
      <w:jc w:val="right"/>
      <w:rPr>
        <w:sz w:val="14"/>
        <w:szCs w:val="14"/>
      </w:rPr>
    </w:pPr>
    <w:r w:rsidRPr="00763846">
      <w:rPr>
        <w:rFonts w:ascii="Arial" w:hAnsi="Arial" w:cs="Arial"/>
        <w:sz w:val="14"/>
        <w:szCs w:val="14"/>
      </w:rPr>
      <w:fldChar w:fldCharType="begin"/>
    </w:r>
    <w:r w:rsidRPr="00763846">
      <w:rPr>
        <w:rFonts w:ascii="Arial" w:hAnsi="Arial" w:cs="Arial"/>
        <w:sz w:val="14"/>
        <w:szCs w:val="14"/>
      </w:rPr>
      <w:instrText xml:space="preserve"> FILENAME  \* MERGEFORMAT </w:instrText>
    </w:r>
    <w:r w:rsidRPr="00763846">
      <w:rPr>
        <w:rFonts w:ascii="Arial" w:hAnsi="Arial" w:cs="Arial"/>
        <w:sz w:val="14"/>
        <w:szCs w:val="14"/>
      </w:rPr>
      <w:fldChar w:fldCharType="separate"/>
    </w:r>
    <w:r w:rsidR="00E8782D">
      <w:rPr>
        <w:rFonts w:ascii="Arial" w:hAnsi="Arial" w:cs="Arial"/>
        <w:noProof/>
        <w:sz w:val="14"/>
        <w:szCs w:val="14"/>
      </w:rPr>
      <w:t>Document2</w:t>
    </w:r>
    <w:r w:rsidRPr="00763846">
      <w:rPr>
        <w:rFonts w:ascii="Arial" w:hAnsi="Arial" w:cs="Aria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07D9D" w14:textId="5121D9C2" w:rsidR="00DC5C29" w:rsidRPr="00873CB3" w:rsidRDefault="00B74820" w:rsidP="00763846">
    <w:pPr>
      <w:spacing w:line="360" w:lineRule="auto"/>
      <w:jc w:val="right"/>
      <w:rPr>
        <w:rFonts w:ascii="Arial" w:hAnsi="Arial" w:cs="Arial"/>
        <w:sz w:val="14"/>
        <w:szCs w:val="14"/>
      </w:rPr>
    </w:pPr>
    <w:r w:rsidRPr="00873CB3">
      <w:rPr>
        <w:rFonts w:ascii="Arial" w:hAnsi="Arial" w:cs="Arial"/>
        <w:sz w:val="14"/>
        <w:szCs w:val="14"/>
      </w:rPr>
      <w:t xml:space="preserve">Page </w:t>
    </w:r>
    <w:r w:rsidRPr="00873CB3">
      <w:rPr>
        <w:rStyle w:val="PageNumber"/>
        <w:rFonts w:cs="Arial"/>
        <w:sz w:val="14"/>
        <w:szCs w:val="14"/>
      </w:rPr>
      <w:fldChar w:fldCharType="begin"/>
    </w:r>
    <w:r w:rsidRPr="00873CB3">
      <w:rPr>
        <w:rStyle w:val="PageNumber"/>
        <w:rFonts w:cs="Arial"/>
        <w:sz w:val="14"/>
        <w:szCs w:val="14"/>
      </w:rPr>
      <w:instrText xml:space="preserve"> PAGE </w:instrText>
    </w:r>
    <w:r w:rsidRPr="00873CB3">
      <w:rPr>
        <w:rStyle w:val="PageNumber"/>
        <w:rFonts w:cs="Arial"/>
        <w:sz w:val="14"/>
        <w:szCs w:val="14"/>
      </w:rPr>
      <w:fldChar w:fldCharType="separate"/>
    </w:r>
    <w:r w:rsidR="00FB7D7D">
      <w:rPr>
        <w:rStyle w:val="PageNumber"/>
        <w:rFonts w:cs="Arial"/>
        <w:noProof/>
        <w:sz w:val="14"/>
        <w:szCs w:val="14"/>
      </w:rPr>
      <w:t>1</w:t>
    </w:r>
    <w:r w:rsidRPr="00873CB3">
      <w:rPr>
        <w:rStyle w:val="PageNumber"/>
        <w:rFonts w:cs="Arial"/>
        <w:sz w:val="14"/>
        <w:szCs w:val="14"/>
      </w:rPr>
      <w:fldChar w:fldCharType="end"/>
    </w:r>
    <w:r w:rsidRPr="00873CB3">
      <w:rPr>
        <w:rStyle w:val="PageNumber"/>
        <w:rFonts w:cs="Arial"/>
        <w:sz w:val="14"/>
        <w:szCs w:val="14"/>
      </w:rPr>
      <w:t xml:space="preserve"> of </w:t>
    </w:r>
    <w:r w:rsidRPr="00873CB3">
      <w:rPr>
        <w:rStyle w:val="PageNumber"/>
        <w:rFonts w:cs="Arial"/>
        <w:sz w:val="14"/>
        <w:szCs w:val="14"/>
      </w:rPr>
      <w:fldChar w:fldCharType="begin"/>
    </w:r>
    <w:r w:rsidRPr="00873CB3">
      <w:rPr>
        <w:rStyle w:val="PageNumber"/>
        <w:rFonts w:cs="Arial"/>
        <w:sz w:val="14"/>
        <w:szCs w:val="14"/>
      </w:rPr>
      <w:instrText xml:space="preserve"> NUMPAGES </w:instrText>
    </w:r>
    <w:r w:rsidRPr="00873CB3">
      <w:rPr>
        <w:rStyle w:val="PageNumber"/>
        <w:rFonts w:cs="Arial"/>
        <w:sz w:val="14"/>
        <w:szCs w:val="14"/>
      </w:rPr>
      <w:fldChar w:fldCharType="separate"/>
    </w:r>
    <w:r w:rsidR="00FB7D7D">
      <w:rPr>
        <w:rStyle w:val="PageNumber"/>
        <w:rFonts w:cs="Arial"/>
        <w:noProof/>
        <w:sz w:val="14"/>
        <w:szCs w:val="14"/>
      </w:rPr>
      <w:t>1</w:t>
    </w:r>
    <w:r w:rsidRPr="00873CB3">
      <w:rPr>
        <w:rStyle w:val="PageNumber"/>
        <w:rFonts w:cs="Arial"/>
        <w:sz w:val="14"/>
        <w:szCs w:val="14"/>
      </w:rPr>
      <w:fldChar w:fldCharType="end"/>
    </w:r>
  </w:p>
  <w:p w14:paraId="42EFDFE7" w14:textId="77777777" w:rsidR="00DC5C29" w:rsidRPr="00873CB3" w:rsidRDefault="00DC5C29">
    <w:pPr>
      <w:jc w:val="right"/>
      <w:rPr>
        <w:rFonts w:ascii="Arial" w:hAnsi="Arial" w:cs="Arial"/>
        <w:sz w:val="14"/>
        <w:szCs w:val="14"/>
      </w:rPr>
    </w:pPr>
    <w:r w:rsidRPr="00873CB3">
      <w:rPr>
        <w:rFonts w:ascii="Arial" w:hAnsi="Arial" w:cs="Arial"/>
        <w:sz w:val="14"/>
        <w:szCs w:val="14"/>
      </w:rPr>
      <w:fldChar w:fldCharType="begin"/>
    </w:r>
    <w:r w:rsidRPr="00873CB3">
      <w:rPr>
        <w:rFonts w:ascii="Arial" w:hAnsi="Arial" w:cs="Arial"/>
        <w:sz w:val="14"/>
        <w:szCs w:val="14"/>
      </w:rPr>
      <w:instrText xml:space="preserve"> FILENAME  \* MERGEFORMAT </w:instrText>
    </w:r>
    <w:r w:rsidRPr="00873CB3">
      <w:rPr>
        <w:rFonts w:ascii="Arial" w:hAnsi="Arial" w:cs="Arial"/>
        <w:sz w:val="14"/>
        <w:szCs w:val="14"/>
      </w:rPr>
      <w:fldChar w:fldCharType="separate"/>
    </w:r>
    <w:r w:rsidR="00E8782D">
      <w:rPr>
        <w:rFonts w:ascii="Arial" w:hAnsi="Arial" w:cs="Arial"/>
        <w:noProof/>
        <w:sz w:val="14"/>
        <w:szCs w:val="14"/>
      </w:rPr>
      <w:t>Document2</w:t>
    </w:r>
    <w:r w:rsidRPr="00873CB3">
      <w:rPr>
        <w:rFonts w:ascii="Arial" w:hAnsi="Arial" w:cs="Arial"/>
        <w:sz w:val="14"/>
        <w:szCs w:val="14"/>
      </w:rPr>
      <w:fldChar w:fldCharType="end"/>
    </w:r>
  </w:p>
  <w:p w14:paraId="076D821B" w14:textId="77777777" w:rsidR="00BC2CFA" w:rsidRDefault="00BC2CFA" w:rsidP="00BC2CFA">
    <w:pPr>
      <w:spacing w:line="160" w:lineRule="exact"/>
      <w:ind w:left="1701"/>
      <w:rPr>
        <w:rFonts w:ascii="Arial" w:hAnsi="Arial" w:cs="Arial"/>
        <w:sz w:val="12"/>
      </w:rPr>
    </w:pPr>
  </w:p>
  <w:p w14:paraId="0F24E97A" w14:textId="77777777" w:rsidR="005A437F" w:rsidRPr="005A437F" w:rsidRDefault="005A437F" w:rsidP="005A437F">
    <w:pPr>
      <w:spacing w:line="160" w:lineRule="exact"/>
      <w:ind w:left="1701"/>
      <w:rPr>
        <w:rFonts w:ascii="Arial" w:hAnsi="Arial" w:cs="Arial"/>
        <w:sz w:val="12"/>
      </w:rPr>
    </w:pPr>
    <w:r w:rsidRPr="005A437F">
      <w:rPr>
        <w:rFonts w:ascii="Arial" w:hAnsi="Arial" w:cs="Arial"/>
        <w:sz w:val="12"/>
      </w:rPr>
      <w:t xml:space="preserve">Higher Education Statistics Agency Ltd is a company limited by guarantee, registered in England at 95 Promenade, Cheltenham, GL50 1HZ. </w:t>
    </w:r>
  </w:p>
  <w:p w14:paraId="161DB27B" w14:textId="77777777" w:rsidR="00DC5C29" w:rsidRDefault="005A437F" w:rsidP="005A437F">
    <w:pPr>
      <w:spacing w:line="160" w:lineRule="exact"/>
      <w:ind w:left="1701"/>
    </w:pPr>
    <w:r w:rsidRPr="005A437F">
      <w:rPr>
        <w:rFonts w:ascii="Arial" w:hAnsi="Arial" w:cs="Arial"/>
        <w:sz w:val="12"/>
      </w:rPr>
      <w:t xml:space="preserve">Registered No. 2766993. Registered Charity No. 1039709. Certified to ISO 9001 and ISO 27001. The members are Universities UK and </w:t>
    </w:r>
    <w:proofErr w:type="spellStart"/>
    <w:r w:rsidRPr="005A437F">
      <w:rPr>
        <w:rFonts w:ascii="Arial" w:hAnsi="Arial" w:cs="Arial"/>
        <w:sz w:val="12"/>
      </w:rPr>
      <w:t>GuildHE</w:t>
    </w:r>
    <w:proofErr w:type="spellEnd"/>
    <w:r w:rsidRPr="005A437F">
      <w:rPr>
        <w:rFonts w:ascii="Arial" w:hAnsi="Arial" w:cs="Arial"/>
        <w:sz w:val="1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3F656D" w14:textId="77777777" w:rsidR="00E8782D" w:rsidRDefault="00E8782D">
      <w:r>
        <w:separator/>
      </w:r>
    </w:p>
  </w:footnote>
  <w:footnote w:type="continuationSeparator" w:id="0">
    <w:p w14:paraId="63AD5584" w14:textId="77777777" w:rsidR="00E8782D" w:rsidRDefault="00E87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021B5" w14:textId="77777777" w:rsidR="004362DF" w:rsidRDefault="00EE108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DCD4FC8" wp14:editId="787AA09E">
          <wp:simplePos x="0" y="0"/>
          <wp:positionH relativeFrom="column">
            <wp:posOffset>-69850</wp:posOffset>
          </wp:positionH>
          <wp:positionV relativeFrom="paragraph">
            <wp:posOffset>9260840</wp:posOffset>
          </wp:positionV>
          <wp:extent cx="1076325" cy="628650"/>
          <wp:effectExtent l="0" t="0" r="9525" b="0"/>
          <wp:wrapNone/>
          <wp:docPr id="5" name="Picture 5" descr="HESA_Flash_CMYK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ESA_Flash_CMYK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1370BC12" wp14:editId="66EBBCF4">
          <wp:simplePos x="0" y="0"/>
          <wp:positionH relativeFrom="column">
            <wp:posOffset>5035550</wp:posOffset>
          </wp:positionH>
          <wp:positionV relativeFrom="paragraph">
            <wp:posOffset>-35560</wp:posOffset>
          </wp:positionV>
          <wp:extent cx="1438275" cy="1171575"/>
          <wp:effectExtent l="0" t="0" r="9525" b="9525"/>
          <wp:wrapSquare wrapText="bothSides"/>
          <wp:docPr id="4" name="Picture 4" descr="HESA_Full_Logo_CMYK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SA_Full_Logo_CMYK_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9227F"/>
    <w:multiLevelType w:val="hybridMultilevel"/>
    <w:tmpl w:val="551EFAB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2D"/>
    <w:rsid w:val="00061914"/>
    <w:rsid w:val="000C3B0F"/>
    <w:rsid w:val="000C7877"/>
    <w:rsid w:val="00130B42"/>
    <w:rsid w:val="0014098F"/>
    <w:rsid w:val="00184F4E"/>
    <w:rsid w:val="001C4521"/>
    <w:rsid w:val="001E2C85"/>
    <w:rsid w:val="002C50D4"/>
    <w:rsid w:val="002E200E"/>
    <w:rsid w:val="00324946"/>
    <w:rsid w:val="00414C12"/>
    <w:rsid w:val="004362DF"/>
    <w:rsid w:val="00440CC4"/>
    <w:rsid w:val="00455B19"/>
    <w:rsid w:val="00474E72"/>
    <w:rsid w:val="00511F2A"/>
    <w:rsid w:val="00522DA7"/>
    <w:rsid w:val="005A437F"/>
    <w:rsid w:val="005A58FA"/>
    <w:rsid w:val="00632CB2"/>
    <w:rsid w:val="00643887"/>
    <w:rsid w:val="00696247"/>
    <w:rsid w:val="006C5DD2"/>
    <w:rsid w:val="00763846"/>
    <w:rsid w:val="00787F0C"/>
    <w:rsid w:val="007E55F6"/>
    <w:rsid w:val="00804599"/>
    <w:rsid w:val="00820E3D"/>
    <w:rsid w:val="0082213D"/>
    <w:rsid w:val="00873CB3"/>
    <w:rsid w:val="008A2D2A"/>
    <w:rsid w:val="008C37C9"/>
    <w:rsid w:val="008D6EC3"/>
    <w:rsid w:val="00971848"/>
    <w:rsid w:val="009B64C3"/>
    <w:rsid w:val="009C4F9C"/>
    <w:rsid w:val="009D37A5"/>
    <w:rsid w:val="00B15871"/>
    <w:rsid w:val="00B43D9E"/>
    <w:rsid w:val="00B74820"/>
    <w:rsid w:val="00B74B4E"/>
    <w:rsid w:val="00B8119A"/>
    <w:rsid w:val="00BA2777"/>
    <w:rsid w:val="00BC2CFA"/>
    <w:rsid w:val="00BE3F6C"/>
    <w:rsid w:val="00CA2FDD"/>
    <w:rsid w:val="00D538CF"/>
    <w:rsid w:val="00DC5C29"/>
    <w:rsid w:val="00E10A9E"/>
    <w:rsid w:val="00E85936"/>
    <w:rsid w:val="00E8782D"/>
    <w:rsid w:val="00EC0549"/>
    <w:rsid w:val="00EE108F"/>
    <w:rsid w:val="00EF6BFC"/>
    <w:rsid w:val="00F73300"/>
    <w:rsid w:val="00FA54F3"/>
    <w:rsid w:val="00FB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074AA0C"/>
  <w15:docId w15:val="{13995A0E-B8AB-46F4-8FD9-B73D4EC6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F4E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2"/>
      <w:lang w:eastAsia="en-US"/>
    </w:rPr>
  </w:style>
  <w:style w:type="paragraph" w:styleId="Heading1">
    <w:name w:val="heading 1"/>
    <w:basedOn w:val="Normal"/>
    <w:next w:val="Normal"/>
    <w:qFormat/>
    <w:rsid w:val="00184F4E"/>
    <w:pPr>
      <w:keepNext/>
      <w:outlineLvl w:val="0"/>
    </w:pPr>
    <w:rPr>
      <w:b/>
      <w:iCs/>
      <w:color w:val="365F91" w:themeColor="accent1" w:themeShade="BF"/>
      <w:kern w:val="28"/>
      <w:sz w:val="28"/>
    </w:rPr>
  </w:style>
  <w:style w:type="paragraph" w:styleId="Heading2">
    <w:name w:val="heading 2"/>
    <w:basedOn w:val="Heading1"/>
    <w:next w:val="Normal"/>
    <w:qFormat/>
    <w:pPr>
      <w:outlineLvl w:val="1"/>
    </w:pPr>
    <w:rPr>
      <w:sz w:val="24"/>
    </w:rPr>
  </w:style>
  <w:style w:type="paragraph" w:styleId="Heading3">
    <w:name w:val="heading 3"/>
    <w:basedOn w:val="Heading1"/>
    <w:rsid w:val="00184F4E"/>
    <w:pPr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4F4E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184F4E"/>
    <w:pPr>
      <w:tabs>
        <w:tab w:val="center" w:pos="4153"/>
        <w:tab w:val="right" w:pos="8306"/>
      </w:tabs>
    </w:pPr>
    <w:rPr>
      <w:rFonts w:ascii="Arial" w:hAnsi="Arial"/>
      <w:sz w:val="12"/>
    </w:rPr>
  </w:style>
  <w:style w:type="character" w:styleId="PageNumber">
    <w:name w:val="page number"/>
    <w:basedOn w:val="DefaultParagraphFont"/>
    <w:rsid w:val="00184F4E"/>
    <w:rPr>
      <w:rFonts w:ascii="Arial" w:hAnsi="Arial"/>
      <w:sz w:val="12"/>
    </w:rPr>
  </w:style>
  <w:style w:type="paragraph" w:customStyle="1" w:styleId="PaperNo">
    <w:name w:val="Paper No."/>
    <w:basedOn w:val="Heading2"/>
    <w:rsid w:val="00184F4E"/>
    <w:pPr>
      <w:jc w:val="right"/>
    </w:pPr>
    <w:rPr>
      <w:bCs/>
      <w:iCs w:val="0"/>
    </w:rPr>
  </w:style>
  <w:style w:type="paragraph" w:styleId="ListParagraph">
    <w:name w:val="List Paragraph"/>
    <w:basedOn w:val="Normal"/>
    <w:uiPriority w:val="34"/>
    <w:qFormat/>
    <w:rsid w:val="00E87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_x0020_description xmlns="a45e714d-71aa-41bd-a0fb-0b18d003f343" xsi:nil="true"/>
    <Relates_x0020_to xmlns="a45e714d-71aa-41bd-a0fb-0b18d003f34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2772AF6BC9D84FBF36EEEFE37A3892" ma:contentTypeVersion="8" ma:contentTypeDescription="Create a new document." ma:contentTypeScope="" ma:versionID="d0f1765a394b4c3ec9dafcda8bc26969">
  <xsd:schema xmlns:xsd="http://www.w3.org/2001/XMLSchema" xmlns:xs="http://www.w3.org/2001/XMLSchema" xmlns:p="http://schemas.microsoft.com/office/2006/metadata/properties" xmlns:ns2="9b9937a8-eafa-4a27-b809-98474ec73a55" xmlns:ns3="a45e714d-71aa-41bd-a0fb-0b18d003f343" xmlns:ns4="5677653f-c5f2-48a5-85d0-ca15fa286beb" targetNamespace="http://schemas.microsoft.com/office/2006/metadata/properties" ma:root="true" ma:fieldsID="568ec3c38144ee72d7b654d21e2c381e" ns2:_="" ns3:_="" ns4:_="">
    <xsd:import namespace="9b9937a8-eafa-4a27-b809-98474ec73a55"/>
    <xsd:import namespace="a45e714d-71aa-41bd-a0fb-0b18d003f343"/>
    <xsd:import namespace="5677653f-c5f2-48a5-85d0-ca15fa286b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Relates_x0020_to" minOccurs="0"/>
                <xsd:element ref="ns3:Doc_x0020_description" minOccurs="0"/>
                <xsd:element ref="ns2:SharingHintHash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937a8-eafa-4a27-b809-98474ec73a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e714d-71aa-41bd-a0fb-0b18d003f343" elementFormDefault="qualified">
    <xsd:import namespace="http://schemas.microsoft.com/office/2006/documentManagement/types"/>
    <xsd:import namespace="http://schemas.microsoft.com/office/infopath/2007/PartnerControls"/>
    <xsd:element name="Relates_x0020_to" ma:index="9" nillable="true" ma:displayName="Relates to review" ma:list="{b2fcf423-e922-4f19-8280-9041456f1976}" ma:internalName="Relates_x0020_to" ma:readOnly="false" ma:showField="Title">
      <xsd:simpleType>
        <xsd:restriction base="dms:Lookup"/>
      </xsd:simpleType>
    </xsd:element>
    <xsd:element name="Doc_x0020_description" ma:index="10" nillable="true" ma:displayName="Doc description" ma:description="What type of document is this? Meeting paper? Consultation response? Emails?" ma:internalName="Doc_x0020_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7653f-c5f2-48a5-85d0-ca15fa286beb" elementFormDefault="qualified">
    <xsd:import namespace="http://schemas.microsoft.com/office/2006/documentManagement/types"/>
    <xsd:import namespace="http://schemas.microsoft.com/office/infopath/2007/PartnerControls"/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9923FD-6BB0-4AF0-9370-18CA86A78768}">
  <ds:schemaRefs>
    <ds:schemaRef ds:uri="http://schemas.microsoft.com/office/2006/documentManagement/types"/>
    <ds:schemaRef ds:uri="9b9937a8-eafa-4a27-b809-98474ec73a55"/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5677653f-c5f2-48a5-85d0-ca15fa286beb"/>
    <ds:schemaRef ds:uri="http://schemas.openxmlformats.org/package/2006/metadata/core-properties"/>
    <ds:schemaRef ds:uri="a45e714d-71aa-41bd-a0fb-0b18d003f34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FA3E9A0-56E2-407F-93F0-A7A5E6431E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9937a8-eafa-4a27-b809-98474ec73a55"/>
    <ds:schemaRef ds:uri="a45e714d-71aa-41bd-a0fb-0b18d003f343"/>
    <ds:schemaRef ds:uri="5677653f-c5f2-48a5-85d0-ca15fa286b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6D5C03-B014-426F-BE0F-0A3F025374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8DD43F19.dotm</Template>
  <TotalTime>0</TotalTime>
  <Pages>1</Pages>
  <Words>374</Words>
  <Characters>2134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CONFIDENTIAL if required</vt:lpstr>
    </vt:vector>
  </TitlesOfParts>
  <Company>HESA</Company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CONFIDENTIAL if required</dc:title>
  <dc:creator>Rachel Hewitt</dc:creator>
  <cp:lastModifiedBy>Rachel Hewitt</cp:lastModifiedBy>
  <cp:revision>2</cp:revision>
  <cp:lastPrinted>2009-05-18T11:12:00Z</cp:lastPrinted>
  <dcterms:created xsi:type="dcterms:W3CDTF">2016-02-12T11:44:00Z</dcterms:created>
  <dcterms:modified xsi:type="dcterms:W3CDTF">2016-02-12T11:44:00Z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0x010100D42772AF6BC9D84FBF36EEEFE37A3892</vt:lpwstr>
  </property>
</Properties>
</file>